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24"/>
        </w:tabs>
        <w:ind w:left="0" w:leftChars="0" w:firstLine="0" w:firstLineChars="0"/>
        <w:jc w:val="left"/>
        <w:rPr>
          <w:rFonts w:hint="eastAsia" w:ascii="黑体" w:hAnsi="黑体" w:eastAsia="黑体" w:cs="黑体"/>
          <w:b w:val="0"/>
          <w:bCs w:val="0"/>
          <w:sz w:val="32"/>
          <w:szCs w:val="32"/>
          <w:highlight w:val="none"/>
          <w:lang w:val="en-US" w:eastAsia="zh-CN"/>
        </w:rPr>
      </w:pPr>
      <w:bookmarkStart w:id="96" w:name="_GoBack"/>
      <w:bookmarkEnd w:id="96"/>
      <w:r>
        <w:rPr>
          <w:rFonts w:hint="eastAsia" w:ascii="黑体" w:hAnsi="黑体" w:eastAsia="黑体" w:cs="黑体"/>
          <w:b w:val="0"/>
          <w:bCs w:val="0"/>
          <w:sz w:val="32"/>
          <w:szCs w:val="32"/>
          <w:highlight w:val="none"/>
        </w:rPr>
        <w:t>广州交易〔2024〕57号</w:t>
      </w:r>
      <w:r>
        <w:rPr>
          <w:rFonts w:hint="eastAsia" w:ascii="黑体" w:hAnsi="黑体" w:eastAsia="黑体" w:cs="黑体"/>
          <w:b w:val="0"/>
          <w:bCs w:val="0"/>
          <w:sz w:val="32"/>
          <w:szCs w:val="32"/>
          <w:highlight w:val="none"/>
          <w:lang w:val="en-US" w:eastAsia="zh-CN"/>
        </w:rPr>
        <w:t>附件</w:t>
      </w:r>
    </w:p>
    <w:p>
      <w:pPr>
        <w:adjustRightInd w:val="0"/>
        <w:snapToGrid w:val="0"/>
        <w:ind w:firstLine="0" w:firstLineChars="0"/>
        <w:jc w:val="center"/>
        <w:rPr>
          <w:rFonts w:hint="default" w:ascii="Times New Roman" w:hAnsi="Times New Roman" w:eastAsia="方正小标宋_GBK" w:cs="Times New Roman"/>
          <w:color w:val="000000"/>
          <w:kern w:val="1"/>
          <w:sz w:val="44"/>
          <w:szCs w:val="24"/>
          <w:highlight w:val="none"/>
        </w:rPr>
      </w:pPr>
    </w:p>
    <w:p>
      <w:pPr>
        <w:pStyle w:val="2"/>
        <w:rPr>
          <w:rFonts w:hint="default" w:ascii="Times New Roman" w:hAnsi="Times New Roman" w:eastAsia="方正小标宋_GBK" w:cs="Times New Roman"/>
          <w:color w:val="000000"/>
          <w:kern w:val="1"/>
          <w:sz w:val="44"/>
          <w:szCs w:val="24"/>
          <w:highlight w:val="none"/>
        </w:rPr>
      </w:pPr>
    </w:p>
    <w:p>
      <w:pPr>
        <w:adjustRightInd w:val="0"/>
        <w:snapToGrid w:val="0"/>
        <w:spacing w:beforeLines="50" w:afterLines="50"/>
        <w:ind w:firstLine="0" w:firstLineChars="0"/>
        <w:jc w:val="center"/>
        <w:rPr>
          <w:rFonts w:hint="eastAsia" w:ascii="方正小标宋_GBK" w:hAnsi="方正小标宋_GBK" w:eastAsia="方正小标宋_GBK" w:cs="方正小标宋_GBK"/>
          <w:color w:val="000000"/>
          <w:kern w:val="1"/>
          <w:sz w:val="44"/>
          <w:szCs w:val="44"/>
          <w:highlight w:val="none"/>
        </w:rPr>
      </w:pPr>
      <w:r>
        <w:rPr>
          <w:rFonts w:hint="eastAsia" w:ascii="方正小标宋_GBK" w:hAnsi="方正小标宋_GBK" w:eastAsia="方正小标宋_GBK" w:cs="方正小标宋_GBK"/>
          <w:color w:val="000000"/>
          <w:kern w:val="1"/>
          <w:sz w:val="44"/>
          <w:szCs w:val="44"/>
          <w:highlight w:val="none"/>
        </w:rPr>
        <w:t>南方区域跨区跨省电力中长期交易规则</w:t>
      </w:r>
    </w:p>
    <w:p>
      <w:pPr>
        <w:tabs>
          <w:tab w:val="left" w:pos="604"/>
          <w:tab w:val="left" w:pos="1429"/>
        </w:tabs>
        <w:overflowPunct w:val="0"/>
        <w:adjustRightInd/>
        <w:snapToGrid w:val="0"/>
        <w:spacing w:beforeLines="-2147483648" w:afterLines="-2147483648" w:line="560" w:lineRule="exact"/>
        <w:ind w:firstLine="600" w:firstLineChars="0"/>
        <w:jc w:val="center"/>
        <w:rPr>
          <w:rFonts w:hint="default" w:ascii="Times New Roman" w:hAnsi="Times New Roman" w:eastAsia="仿宋_GB2312" w:cs="Times New Roman"/>
          <w:kern w:val="2"/>
          <w:sz w:val="30"/>
          <w:szCs w:val="30"/>
          <w:highlight w:val="none"/>
          <w:lang w:eastAsia="zh-CN"/>
        </w:rPr>
      </w:pPr>
    </w:p>
    <w:p>
      <w:pPr>
        <w:adjustRightInd w:val="0"/>
        <w:snapToGrid w:val="0"/>
        <w:ind w:firstLine="0" w:firstLineChars="0"/>
        <w:jc w:val="center"/>
        <w:rPr>
          <w:rFonts w:hint="default" w:ascii="Times New Roman" w:hAnsi="Times New Roman" w:eastAsia="黑体" w:cs="Times New Roman"/>
          <w:color w:val="000000"/>
          <w:kern w:val="1"/>
          <w:sz w:val="48"/>
          <w:szCs w:val="48"/>
          <w:highlight w:val="none"/>
        </w:rPr>
      </w:pPr>
    </w:p>
    <w:p>
      <w:pPr>
        <w:adjustRightInd w:val="0"/>
        <w:snapToGrid w:val="0"/>
        <w:ind w:firstLine="880"/>
        <w:rPr>
          <w:rFonts w:hint="default" w:ascii="Times New Roman" w:hAnsi="Times New Roman" w:eastAsia="方正小标宋_GBK" w:cs="Times New Roman"/>
          <w:color w:val="000000"/>
          <w:kern w:val="1"/>
          <w:sz w:val="44"/>
          <w:szCs w:val="24"/>
          <w:highlight w:val="none"/>
        </w:rPr>
      </w:pPr>
    </w:p>
    <w:p>
      <w:pPr>
        <w:overflowPunct w:val="0"/>
        <w:spacing w:line="600" w:lineRule="exact"/>
        <w:ind w:firstLine="0" w:firstLineChars="0"/>
        <w:jc w:val="center"/>
        <w:rPr>
          <w:rFonts w:hint="default" w:ascii="Times New Roman" w:hAnsi="Times New Roman" w:eastAsia="黑体" w:cs="Times New Roman"/>
          <w:sz w:val="44"/>
          <w:szCs w:val="44"/>
          <w:highlight w:val="none"/>
          <w:lang w:val="zh-CN"/>
        </w:rPr>
      </w:pPr>
      <w:r>
        <w:rPr>
          <w:rFonts w:hint="default" w:ascii="Times New Roman" w:hAnsi="Times New Roman" w:eastAsia="黑体" w:cs="Times New Roman"/>
          <w:sz w:val="44"/>
          <w:szCs w:val="44"/>
          <w:highlight w:val="none"/>
          <w:lang w:val="zh-CN"/>
        </w:rPr>
        <w:br w:type="page"/>
      </w:r>
    </w:p>
    <w:p>
      <w:pPr>
        <w:overflowPunct w:val="0"/>
        <w:spacing w:line="600" w:lineRule="exact"/>
        <w:ind w:firstLine="0" w:firstLineChars="0"/>
        <w:jc w:val="center"/>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lang w:val="zh-CN"/>
        </w:rPr>
        <w:t>目 录</w:t>
      </w:r>
    </w:p>
    <w:p>
      <w:pPr>
        <w:overflowPunct w:val="0"/>
        <w:spacing w:line="560" w:lineRule="exact"/>
        <w:ind w:firstLine="0" w:firstLineChars="0"/>
        <w:jc w:val="center"/>
        <w:rPr>
          <w:rFonts w:hint="default" w:ascii="Times New Roman" w:hAnsi="Times New Roman" w:eastAsia="黑体" w:cs="Times New Roman"/>
          <w:sz w:val="32"/>
          <w:szCs w:val="32"/>
          <w:highlight w:val="none"/>
          <w:lang w:val="zh-CN"/>
        </w:rPr>
      </w:pP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TOC \o "1-3" \h \z \u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_Toc15687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第一章 总则</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_Toc15687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_Toc8075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第二章 市场成员</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_Toc8075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_Toc1473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第三章 市场准入、注册与退出</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_Toc1473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_Toc26700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第四章 交易品种</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_Toc26700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9</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_Toc3223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第五章 价格机制</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_Toc3223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11</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_Toc22946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第六章 交易组织</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_Toc22946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13</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_Toc11178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第七章 安全校核</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_Toc11178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19</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_Toc5449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第八章 交易执行</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_Toc5449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21</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_Toc22461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第九章 计量</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_Toc22461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24</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_Toc30491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第十章 偏差电量处理</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_Toc30491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25</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_Toc30398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第十一章 结算</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_Toc30398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28</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_Toc26830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第十二章 信息披露</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_Toc26830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30</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_Toc24866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第十三章 市场监控和风险防控</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_Toc24866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33</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_Toc26699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第十四章 附则</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_Toc26699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34</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_Toc12109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附件1：交易品种</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_Toc12109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35</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306"/>
        </w:tabs>
        <w:spacing w:line="560" w:lineRule="exact"/>
        <w:rPr>
          <w:rFonts w:hint="default" w:ascii="Times New Roman" w:hAnsi="Times New Roman" w:cs="Times New Roman"/>
          <w:highlight w:val="none"/>
        </w:rPr>
      </w:pPr>
      <w:r>
        <w:rPr>
          <w:rFonts w:hint="default" w:ascii="Times New Roman" w:hAnsi="Times New Roman" w:cs="Times New Roman"/>
          <w:bCs/>
          <w:szCs w:val="28"/>
          <w:highlight w:val="none"/>
          <w:lang w:val="zh-CN"/>
        </w:rPr>
        <w:fldChar w:fldCharType="begin"/>
      </w:r>
      <w:r>
        <w:rPr>
          <w:rFonts w:hint="default" w:ascii="Times New Roman" w:hAnsi="Times New Roman" w:cs="Times New Roman"/>
          <w:bCs/>
          <w:szCs w:val="28"/>
          <w:highlight w:val="none"/>
          <w:lang w:val="zh-CN"/>
        </w:rPr>
        <w:instrText xml:space="preserve"> HYPERLINK \l _Toc32259 </w:instrText>
      </w:r>
      <w:r>
        <w:rPr>
          <w:rFonts w:hint="default" w:ascii="Times New Roman" w:hAnsi="Times New Roman" w:cs="Times New Roman"/>
          <w:bCs/>
          <w:szCs w:val="28"/>
          <w:highlight w:val="none"/>
          <w:lang w:val="zh-CN"/>
        </w:rPr>
        <w:fldChar w:fldCharType="separate"/>
      </w:r>
      <w:r>
        <w:rPr>
          <w:rFonts w:hint="default" w:ascii="Times New Roman" w:hAnsi="Times New Roman" w:eastAsia="仿宋_GB2312" w:cs="Times New Roman"/>
          <w:bCs w:val="0"/>
          <w:kern w:val="2"/>
          <w:szCs w:val="30"/>
          <w:highlight w:val="none"/>
        </w:rPr>
        <w:t>附件2：交易品种说明</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_Toc32259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36</w:t>
      </w:r>
      <w:r>
        <w:rPr>
          <w:rFonts w:hint="default" w:ascii="Times New Roman" w:hAnsi="Times New Roman" w:cs="Times New Roman"/>
          <w:highlight w:val="none"/>
        </w:rPr>
        <w:fldChar w:fldCharType="end"/>
      </w:r>
      <w:r>
        <w:rPr>
          <w:rFonts w:hint="default" w:ascii="Times New Roman" w:hAnsi="Times New Roman" w:cs="Times New Roman"/>
          <w:bCs/>
          <w:szCs w:val="28"/>
          <w:highlight w:val="none"/>
          <w:lang w:val="zh-CN"/>
        </w:rPr>
        <w:fldChar w:fldCharType="end"/>
      </w:r>
    </w:p>
    <w:p>
      <w:pPr>
        <w:pStyle w:val="8"/>
        <w:tabs>
          <w:tab w:val="right" w:leader="dot" w:pos="8973"/>
        </w:tabs>
        <w:spacing w:line="560" w:lineRule="exact"/>
        <w:ind w:firstLine="0" w:firstLineChars="0"/>
        <w:rPr>
          <w:rFonts w:hint="default" w:ascii="Times New Roman" w:hAnsi="Times New Roman" w:eastAsia="黑体" w:cs="Times New Roman"/>
          <w:szCs w:val="28"/>
          <w:highlight w:val="none"/>
        </w:rPr>
      </w:pPr>
      <w:r>
        <w:rPr>
          <w:rFonts w:hint="default" w:ascii="Times New Roman" w:hAnsi="Times New Roman" w:cs="Times New Roman"/>
          <w:bCs/>
          <w:szCs w:val="28"/>
          <w:highlight w:val="none"/>
          <w:lang w:val="zh-CN"/>
        </w:rPr>
        <w:fldChar w:fldCharType="end"/>
      </w:r>
    </w:p>
    <w:p>
      <w:pPr>
        <w:ind w:firstLine="600"/>
        <w:rPr>
          <w:rFonts w:hint="default" w:ascii="Times New Roman" w:hAnsi="Times New Roman" w:cs="Times New Roman"/>
          <w:bCs/>
          <w:szCs w:val="28"/>
          <w:highlight w:val="none"/>
          <w:lang w:val="zh-CN"/>
        </w:rPr>
      </w:pPr>
    </w:p>
    <w:p>
      <w:pPr>
        <w:pStyle w:val="3"/>
        <w:spacing w:beforeLines="50" w:afterLines="50" w:line="560" w:lineRule="exact"/>
        <w:rPr>
          <w:rFonts w:hint="default" w:ascii="Times New Roman" w:hAnsi="Times New Roman" w:eastAsia="黑体" w:cs="Times New Roman"/>
          <w:bCs w:val="0"/>
          <w:kern w:val="2"/>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984" w:right="1616" w:bottom="1814" w:left="1616" w:header="851" w:footer="992" w:gutter="0"/>
          <w:pgNumType w:fmt="decimal"/>
          <w:cols w:space="720" w:num="1"/>
          <w:rtlGutter w:val="0"/>
          <w:docGrid w:type="lines" w:linePitch="413" w:charSpace="0"/>
        </w:sectPr>
      </w:pPr>
      <w:bookmarkStart w:id="0" w:name="_Toc503381419"/>
      <w:bookmarkStart w:id="1" w:name="_Toc11137"/>
      <w:bookmarkStart w:id="2" w:name="_Toc505691897"/>
      <w:bookmarkStart w:id="3" w:name="_Toc521936256"/>
    </w:p>
    <w:p>
      <w:pPr>
        <w:pStyle w:val="3"/>
        <w:spacing w:beforeLines="50" w:afterLines="50" w:line="560" w:lineRule="exact"/>
        <w:rPr>
          <w:rFonts w:hint="default" w:ascii="Times New Roman" w:hAnsi="Times New Roman" w:eastAsia="黑体" w:cs="Times New Roman"/>
          <w:bCs w:val="0"/>
          <w:kern w:val="2"/>
          <w:sz w:val="30"/>
          <w:szCs w:val="30"/>
          <w:highlight w:val="none"/>
        </w:rPr>
      </w:pPr>
      <w:bookmarkStart w:id="4" w:name="_Toc88663429"/>
      <w:bookmarkStart w:id="5" w:name="_Toc15687"/>
      <w:r>
        <w:rPr>
          <w:rFonts w:hint="default" w:ascii="Times New Roman" w:hAnsi="Times New Roman" w:eastAsia="黑体" w:cs="Times New Roman"/>
          <w:bCs w:val="0"/>
          <w:kern w:val="2"/>
          <w:sz w:val="30"/>
          <w:szCs w:val="30"/>
          <w:highlight w:val="none"/>
        </w:rPr>
        <w:t>第一章 总则</w:t>
      </w:r>
      <w:bookmarkEnd w:id="0"/>
      <w:bookmarkEnd w:id="1"/>
      <w:bookmarkEnd w:id="2"/>
      <w:bookmarkEnd w:id="3"/>
      <w:bookmarkEnd w:id="4"/>
      <w:bookmarkEnd w:id="5"/>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highlight w:val="none"/>
        </w:rPr>
        <w:t>为</w:t>
      </w:r>
      <w:r>
        <w:rPr>
          <w:rFonts w:hint="default" w:ascii="Times New Roman" w:hAnsi="Times New Roman" w:cs="Times New Roman"/>
          <w:szCs w:val="30"/>
          <w:highlight w:val="none"/>
        </w:rPr>
        <w:t>落实国家西电东送战略，促进清洁能源消纳，规范南方区域跨区跨省电力中长期交易，推进建设统一开放、竞争有序的南方区域电力市场，实现在更大范围优化配置资源，根据《中共中央 国务院关于进一步深化电力体制改革的若干意见》（中发〔2015〕9 号）及其配套文件和有关法律、法规、规定，依据《电力中长期交易基本规则》（发改能源规〔2020〕889 号），制定本规则。</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本规则按照“安全可靠、市场主导、落实战略、节能减排”的原则</w:t>
      </w:r>
      <w:r>
        <w:rPr>
          <w:rFonts w:hint="default" w:ascii="Times New Roman" w:hAnsi="Times New Roman" w:cs="Times New Roman"/>
          <w:szCs w:val="30"/>
          <w:highlight w:val="none"/>
          <w:lang w:val="en-US" w:eastAsia="zh-CN"/>
        </w:rPr>
        <w:t>制</w:t>
      </w:r>
      <w:r>
        <w:rPr>
          <w:rFonts w:hint="default" w:ascii="Times New Roman" w:hAnsi="Times New Roman" w:cs="Times New Roman"/>
          <w:szCs w:val="30"/>
          <w:highlight w:val="none"/>
        </w:rPr>
        <w:t>定。</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（一）坚持安全可靠原则，确保电力供应安全、电力系统运行安全。</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（二）坚持市场主导原则，建立和完善市场交易机制，强化市场契约精神，充分发挥市场决定价格的作用。</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（三）坚持落实国家能源战略原则，积极发挥跨区跨省交易平台作用，落实西电东送战略，促进电力资源大范围优化配置。</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（四）坚持节能减排原则，全面贯彻落实国家</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双碳</w:t>
      </w:r>
      <w:r>
        <w:rPr>
          <w:rFonts w:hint="default" w:ascii="Times New Roman" w:hAnsi="Times New Roman" w:cs="Times New Roman"/>
          <w:szCs w:val="30"/>
          <w:highlight w:val="none"/>
          <w:lang w:eastAsia="zh-CN"/>
        </w:rPr>
        <w:t>”目标</w:t>
      </w:r>
      <w:r>
        <w:rPr>
          <w:rFonts w:hint="default" w:ascii="Times New Roman" w:hAnsi="Times New Roman" w:cs="Times New Roman"/>
          <w:szCs w:val="30"/>
          <w:highlight w:val="none"/>
        </w:rPr>
        <w:t>、节能环保政策，促进清洁能源消纳、能源结构优化。绿色电力在交易组织、电网调度、交易结算等方面体现优先地位。</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本规则所称南方区域是指广东、广西、云南、贵州、海南等五省区，所称跨区跨省电力中长期交易是指符合准入条件在交易机构注册的</w:t>
      </w:r>
      <w:r>
        <w:rPr>
          <w:rFonts w:hint="eastAsia" w:cs="Times New Roman"/>
          <w:szCs w:val="30"/>
          <w:highlight w:val="none"/>
          <w:lang w:eastAsia="zh-CN"/>
        </w:rPr>
        <w:t>经营主体</w:t>
      </w:r>
      <w:r>
        <w:rPr>
          <w:rFonts w:hint="default" w:ascii="Times New Roman" w:hAnsi="Times New Roman" w:cs="Times New Roman"/>
          <w:szCs w:val="30"/>
          <w:highlight w:val="none"/>
        </w:rPr>
        <w:t>通过市场化方式，开展的多日及以上的跨省（区）电力批发交易。跨南方区域开展的电力中长期交易应参照本规则。</w:t>
      </w:r>
      <w:r>
        <w:rPr>
          <w:rFonts w:hint="default" w:ascii="Times New Roman" w:hAnsi="Times New Roman" w:cs="Times New Roman"/>
          <w:szCs w:val="30"/>
          <w:highlight w:val="none"/>
          <w:lang w:val="en-US" w:eastAsia="zh-CN"/>
        </w:rPr>
        <w:t>做好与现货市场、辅助服务市场、绿电交易市场</w:t>
      </w:r>
      <w:r>
        <w:rPr>
          <w:rFonts w:hint="eastAsia" w:cs="Times New Roman"/>
          <w:szCs w:val="30"/>
          <w:highlight w:val="none"/>
          <w:lang w:val="en-US" w:eastAsia="zh-CN"/>
        </w:rPr>
        <w:t>和电网企业代理购电</w:t>
      </w:r>
      <w:r>
        <w:rPr>
          <w:rFonts w:hint="default" w:ascii="Times New Roman" w:hAnsi="Times New Roman" w:cs="Times New Roman"/>
          <w:szCs w:val="30"/>
          <w:highlight w:val="none"/>
          <w:lang w:val="en-US" w:eastAsia="zh-CN"/>
        </w:rPr>
        <w:t>的衔接</w:t>
      </w:r>
      <w:r>
        <w:rPr>
          <w:rFonts w:hint="eastAsia" w:cs="Times New Roman"/>
          <w:szCs w:val="30"/>
          <w:highlight w:val="none"/>
          <w:lang w:val="en-US" w:eastAsia="zh-CN"/>
        </w:rPr>
        <w:t>，有关规则另行制定</w:t>
      </w:r>
      <w:r>
        <w:rPr>
          <w:rFonts w:hint="default" w:ascii="Times New Roman" w:hAnsi="Times New Roman" w:cs="Times New Roman"/>
          <w:szCs w:val="30"/>
          <w:highlight w:val="none"/>
          <w:lang w:val="en-US" w:eastAsia="zh-CN"/>
        </w:rPr>
        <w:t>。</w:t>
      </w:r>
      <w:r>
        <w:rPr>
          <w:rFonts w:hint="default" w:ascii="Times New Roman" w:hAnsi="Times New Roman" w:cs="Times New Roman"/>
          <w:szCs w:val="30"/>
          <w:highlight w:val="none"/>
        </w:rPr>
        <w:t>市场成员应严格遵守本规则，自觉自律，不得操纵市场价格、损害其他</w:t>
      </w:r>
      <w:r>
        <w:rPr>
          <w:rFonts w:hint="eastAsia" w:cs="Times New Roman"/>
          <w:szCs w:val="30"/>
          <w:highlight w:val="none"/>
          <w:lang w:eastAsia="zh-CN"/>
        </w:rPr>
        <w:t>经营主体</w:t>
      </w:r>
      <w:r>
        <w:rPr>
          <w:rFonts w:hint="default" w:ascii="Times New Roman" w:hAnsi="Times New Roman" w:cs="Times New Roman"/>
          <w:szCs w:val="30"/>
          <w:highlight w:val="none"/>
        </w:rPr>
        <w:t>的合法权益。任何单位和个人不得非法干预市场正常运行。</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6" w:name="_Toc8075"/>
      <w:bookmarkStart w:id="7" w:name="_Toc88663430"/>
      <w:bookmarkStart w:id="8" w:name="_Toc521936257"/>
      <w:bookmarkStart w:id="9" w:name="_Toc3110"/>
      <w:bookmarkStart w:id="10" w:name="_Toc503381420"/>
      <w:bookmarkStart w:id="11" w:name="_Toc505691898"/>
      <w:r>
        <w:rPr>
          <w:rFonts w:hint="default" w:ascii="Times New Roman" w:hAnsi="Times New Roman" w:eastAsia="黑体" w:cs="Times New Roman"/>
          <w:bCs w:val="0"/>
          <w:kern w:val="2"/>
          <w:sz w:val="30"/>
          <w:szCs w:val="30"/>
          <w:highlight w:val="none"/>
        </w:rPr>
        <w:t>市场成员</w:t>
      </w:r>
      <w:bookmarkEnd w:id="6"/>
      <w:bookmarkEnd w:id="7"/>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市场成员包括发电企业、电网企业、售电公司、电力交易机构、电力调度机构、电力用户、储能企业（包括新型储能、抽水蓄能电站）等。</w:t>
      </w:r>
    </w:p>
    <w:bookmarkEnd w:id="8"/>
    <w:bookmarkEnd w:id="9"/>
    <w:bookmarkEnd w:id="10"/>
    <w:bookmarkEnd w:id="11"/>
    <w:p>
      <w:pPr>
        <w:numPr>
          <w:ilvl w:val="0"/>
          <w:numId w:val="1"/>
        </w:numPr>
        <w:overflowPunct w:val="0"/>
        <w:snapToGrid w:val="0"/>
        <w:spacing w:line="560" w:lineRule="exact"/>
        <w:ind w:firstLineChars="0"/>
        <w:rPr>
          <w:rFonts w:hint="default" w:ascii="Times New Roman" w:hAnsi="Times New Roman" w:cs="Times New Roman"/>
          <w:szCs w:val="30"/>
          <w:highlight w:val="none"/>
        </w:rPr>
      </w:pPr>
      <w:bookmarkStart w:id="12" w:name="_Toc499141942"/>
      <w:bookmarkStart w:id="13" w:name="_Toc500951613"/>
      <w:bookmarkStart w:id="14" w:name="_Toc499142434"/>
      <w:r>
        <w:rPr>
          <w:rFonts w:hint="default" w:ascii="Times New Roman" w:hAnsi="Times New Roman" w:cs="Times New Roman"/>
          <w:szCs w:val="30"/>
          <w:highlight w:val="none"/>
        </w:rPr>
        <w:t>发电企业的权利与义务</w:t>
      </w:r>
      <w:bookmarkEnd w:id="12"/>
      <w:bookmarkEnd w:id="13"/>
      <w:bookmarkEnd w:id="14"/>
      <w:r>
        <w:rPr>
          <w:rFonts w:hint="default" w:ascii="Times New Roman" w:hAnsi="Times New Roman" w:cs="Times New Roman"/>
          <w:szCs w:val="30"/>
          <w:highlight w:val="none"/>
        </w:rPr>
        <w:t>：</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（一）按照规则参与南方区域跨区跨省电力交易，签订和履行电力交易合同，按规定完成电费结算、支付交易服务费等。</w:t>
      </w:r>
    </w:p>
    <w:p>
      <w:pPr>
        <w:tabs>
          <w:tab w:val="left" w:pos="604"/>
          <w:tab w:val="left" w:pos="1429"/>
        </w:tabs>
        <w:overflowPunct w:val="0"/>
        <w:snapToGrid w:val="0"/>
        <w:spacing w:line="560" w:lineRule="exact"/>
        <w:ind w:left="604" w:firstLine="0"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（二）获得公平的输电服务和电网接入服务。</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（三）签订并执行并网调度协议，服从电力调度机构的统一调度。</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（四）依法依规披露和提供信息，获得电力交易</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输配电服务</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电力用户（售电公司）</w:t>
      </w:r>
      <w:r>
        <w:rPr>
          <w:rFonts w:hint="default" w:ascii="Times New Roman" w:hAnsi="Times New Roman" w:cs="Times New Roman"/>
          <w:szCs w:val="30"/>
          <w:highlight w:val="none"/>
        </w:rPr>
        <w:t>等相关信息。</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（五）具备满足参与电力交易需要的技术支持条件。</w:t>
      </w:r>
    </w:p>
    <w:p>
      <w:pPr>
        <w:tabs>
          <w:tab w:val="left" w:pos="604"/>
          <w:tab w:val="left" w:pos="1429"/>
        </w:tabs>
        <w:overflowPunct w:val="0"/>
        <w:snapToGrid w:val="0"/>
        <w:spacing w:line="560" w:lineRule="exact"/>
        <w:ind w:left="184" w:firstLine="450" w:firstLineChars="150"/>
        <w:rPr>
          <w:rFonts w:hint="default" w:ascii="Times New Roman" w:hAnsi="Times New Roman" w:cs="Times New Roman"/>
          <w:szCs w:val="30"/>
          <w:highlight w:val="none"/>
        </w:rPr>
      </w:pPr>
      <w:r>
        <w:rPr>
          <w:rFonts w:hint="default" w:ascii="Times New Roman" w:hAnsi="Times New Roman" w:cs="Times New Roman"/>
          <w:szCs w:val="30"/>
          <w:highlight w:val="none"/>
        </w:rPr>
        <w:t>（六）法律法规规定的其他权利和义务。</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电力用户的权利与义务：</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（一）按照规则参与南方区域跨区跨省电力交易，签订和履行电力交易合同，提供电力交易所必须的电力电量需求、典型负荷曲线及相关生产信息等。</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（二）获得公平的输配电服务和电网接入服务，按规定支付购电费、输配电费、</w:t>
      </w:r>
      <w:r>
        <w:rPr>
          <w:rFonts w:hint="default" w:ascii="Times New Roman" w:hAnsi="Times New Roman" w:cs="Times New Roman"/>
          <w:szCs w:val="30"/>
          <w:highlight w:val="none"/>
          <w:lang w:val="en-US" w:eastAsia="zh-CN"/>
        </w:rPr>
        <w:t>辅助服务费用、</w:t>
      </w:r>
      <w:r>
        <w:rPr>
          <w:rFonts w:hint="default" w:ascii="Times New Roman" w:hAnsi="Times New Roman" w:cs="Times New Roman"/>
          <w:szCs w:val="30"/>
          <w:highlight w:val="none"/>
        </w:rPr>
        <w:t>政府性基金与附加、交易服务费等。</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（三）依法依规披露和提供信息，获得电力交易和输配电服务等相关信息。</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（四）服从电力调度机构的统一调度，在系统特殊运行状况下（如事故、严重供不应求等情况），按电力调度机构要求安排用电。</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（五）遵守政府电力管理部门有关电力需求侧管理的规定，执行有序用电管理，配合开展错避峰。</w:t>
      </w:r>
    </w:p>
    <w:p>
      <w:pPr>
        <w:tabs>
          <w:tab w:val="left" w:pos="604"/>
          <w:tab w:val="left" w:pos="1429"/>
        </w:tabs>
        <w:overflowPunct w:val="0"/>
        <w:snapToGrid w:val="0"/>
        <w:spacing w:line="560" w:lineRule="exact"/>
        <w:ind w:left="604" w:firstLine="0"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（六）依法依规履行清洁能源消纳责任。</w:t>
      </w:r>
    </w:p>
    <w:p>
      <w:pPr>
        <w:tabs>
          <w:tab w:val="left" w:pos="604"/>
          <w:tab w:val="left" w:pos="1429"/>
        </w:tabs>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（七）具备满足参与电力交易需要的技术支持条件。</w:t>
      </w:r>
    </w:p>
    <w:p>
      <w:pPr>
        <w:tabs>
          <w:tab w:val="left" w:pos="604"/>
          <w:tab w:val="left" w:pos="1429"/>
        </w:tabs>
        <w:overflowPunct w:val="0"/>
        <w:snapToGrid w:val="0"/>
        <w:spacing w:line="560" w:lineRule="exact"/>
        <w:ind w:left="604" w:firstLine="0"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（八）法律法规规定的其他权利和义务。</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售电公司的权利与义务：</w:t>
      </w:r>
    </w:p>
    <w:p>
      <w:pPr>
        <w:numPr>
          <w:ilvl w:val="0"/>
          <w:numId w:val="3"/>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按照规则参与南方区域跨区跨省电力交易，签订和履行电力交易合同，按规定完成电费结算、支付交易服务费等。</w:t>
      </w:r>
    </w:p>
    <w:p>
      <w:pPr>
        <w:numPr>
          <w:ilvl w:val="0"/>
          <w:numId w:val="3"/>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依法依规披露和提供信息，在政府指定网站上公开公司资产、经营状况等情况和信用承诺，依法对公司重大事项进行公告，并定期公布公司年报。</w:t>
      </w:r>
    </w:p>
    <w:p>
      <w:pPr>
        <w:numPr>
          <w:ilvl w:val="0"/>
          <w:numId w:val="3"/>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按照规则向电力交易机构、电力调度机构提供代理零售用户的交易电力电量需求、典型负荷曲线以及其他生产信息，获得电力交易、输配电服务和代理零售用户的基础信息等相关信息，承担用户信息保密义务。</w:t>
      </w:r>
    </w:p>
    <w:p>
      <w:pPr>
        <w:numPr>
          <w:ilvl w:val="0"/>
          <w:numId w:val="3"/>
        </w:numPr>
        <w:tabs>
          <w:tab w:val="left" w:pos="604"/>
          <w:tab w:val="left" w:pos="1429"/>
        </w:tabs>
        <w:overflowPunct w:val="0"/>
        <w:snapToGrid w:val="0"/>
        <w:spacing w:line="560" w:lineRule="exact"/>
        <w:ind w:left="0" w:firstLine="600"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依法依规履行清洁能源消纳责任。</w:t>
      </w:r>
    </w:p>
    <w:p>
      <w:pPr>
        <w:numPr>
          <w:ilvl w:val="0"/>
          <w:numId w:val="3"/>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具备满足参与电力交易需要的技术支持条件。</w:t>
      </w:r>
    </w:p>
    <w:p>
      <w:pPr>
        <w:numPr>
          <w:ilvl w:val="0"/>
          <w:numId w:val="3"/>
        </w:numPr>
        <w:tabs>
          <w:tab w:val="left" w:pos="604"/>
          <w:tab w:val="left" w:pos="1429"/>
        </w:tabs>
        <w:overflowPunct w:val="0"/>
        <w:snapToGrid w:val="0"/>
        <w:spacing w:line="560" w:lineRule="exact"/>
        <w:ind w:left="0" w:firstLine="600"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法律法规规定的其他权利和义务。</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电网企业的权利与义务：</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（一）保障经营范围内电网和输配电设施的安全稳定运行。</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（二）为</w:t>
      </w:r>
      <w:r>
        <w:rPr>
          <w:rFonts w:hint="eastAsia" w:cs="Times New Roman"/>
          <w:szCs w:val="30"/>
          <w:highlight w:val="none"/>
          <w:lang w:eastAsia="zh-CN"/>
        </w:rPr>
        <w:t>经营主体</w:t>
      </w:r>
      <w:r>
        <w:rPr>
          <w:rFonts w:hint="default" w:ascii="Times New Roman" w:hAnsi="Times New Roman" w:cs="Times New Roman"/>
          <w:szCs w:val="30"/>
          <w:highlight w:val="none"/>
        </w:rPr>
        <w:t>提供公平的输配电服务和电网接入服务，提供报装、计量、抄表、收费等供电服务。</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（三）建设、运行、维护和管理电网配套技术支持系统，服从电力调度机构的统一调度。</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（四）依法依规披露和提供信息，向广州电力交易中心提供支撑电力交易和市场服务所需的有关数据，按照国家网络安全有关规定实现与电力交易机构的数据交互。</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（五）收取输电费，代收代付电费和政府性基金及附加等，按规定完成电费结算。</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（六）落实国家指令性计划、政府间协议、国家下达的年度</w:t>
      </w:r>
      <w:r>
        <w:rPr>
          <w:rFonts w:hint="eastAsia" w:cs="Times New Roman"/>
          <w:szCs w:val="30"/>
          <w:highlight w:val="none"/>
          <w:lang w:eastAsia="zh-CN"/>
        </w:rPr>
        <w:t>跨省跨区优先发电规模计划</w:t>
      </w:r>
      <w:r>
        <w:rPr>
          <w:rFonts w:hint="default" w:ascii="Times New Roman" w:hAnsi="Times New Roman" w:cs="Times New Roman"/>
          <w:szCs w:val="30"/>
          <w:highlight w:val="none"/>
        </w:rPr>
        <w:t>，签订和履行电力交易合同。</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（七）预测优先购电用户及代理购电用户的电力、电量需求等。</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rPr>
        <w:t>（八）</w:t>
      </w:r>
      <w:r>
        <w:rPr>
          <w:rFonts w:hint="default" w:ascii="Times New Roman" w:hAnsi="Times New Roman" w:cs="Times New Roman"/>
          <w:szCs w:val="30"/>
          <w:highlight w:val="none"/>
          <w:lang w:val="en-US" w:eastAsia="zh-CN"/>
        </w:rPr>
        <w:t>结合电力市场建设进展和发用电计划放开程度，代理暂未直接从电力市场购电和已直接参与市场交易又退出的电力用户购电。保障供应居民（含执行居民电价的学校、社会福利机构、社区服务中心等公益性事业用户）、农业用电。</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（九）依法依规履行清洁能源消纳责任。</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（十）法律法规所赋予的其他权利和义务。</w:t>
      </w:r>
    </w:p>
    <w:p>
      <w:pPr>
        <w:numPr>
          <w:ilvl w:val="0"/>
          <w:numId w:val="1"/>
        </w:numPr>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 xml:space="preserve"> 广州电力交易中心的权利与义务：</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参与拟定南方区域跨区跨省电力交易有关规则。</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提供市场注册服务。</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按照规则组织南方区域跨区跨省电力中长期交易，汇总管理电力交易合同</w:t>
      </w:r>
      <w:r>
        <w:rPr>
          <w:rFonts w:hint="eastAsia" w:cs="Times New Roman"/>
          <w:szCs w:val="30"/>
          <w:highlight w:val="none"/>
          <w:lang w:eastAsia="zh-CN"/>
        </w:rPr>
        <w:t>，并可根据合同缔约方委托提供相应服务</w:t>
      </w:r>
      <w:r>
        <w:rPr>
          <w:rFonts w:hint="default" w:ascii="Times New Roman" w:hAnsi="Times New Roman" w:cs="Times New Roman"/>
          <w:szCs w:val="30"/>
          <w:highlight w:val="none"/>
        </w:rPr>
        <w:t>。</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提供南方区域跨区跨省电力交易结算依据及相关服务。</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建设、运营和管理电力交易技术支持系统（以下简称“电力交易平台”）。</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依法依规统计、报送、披露和发布信息，负责提供信息发布平台，为</w:t>
      </w:r>
      <w:r>
        <w:rPr>
          <w:rFonts w:hint="eastAsia" w:cs="Times New Roman"/>
          <w:szCs w:val="30"/>
          <w:highlight w:val="none"/>
          <w:lang w:eastAsia="zh-CN"/>
        </w:rPr>
        <w:t>经营主体</w:t>
      </w:r>
      <w:r>
        <w:rPr>
          <w:rFonts w:hint="default" w:ascii="Times New Roman" w:hAnsi="Times New Roman" w:cs="Times New Roman"/>
          <w:szCs w:val="30"/>
          <w:highlight w:val="none"/>
        </w:rPr>
        <w:t>信息发布提供便利，获得市场成员提供的支撑电力交易以及服务需求的数据等。</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配合政府有关部门，完善电力市场信用体系，依法依规对</w:t>
      </w:r>
      <w:r>
        <w:rPr>
          <w:rFonts w:hint="eastAsia" w:cs="Times New Roman"/>
          <w:szCs w:val="30"/>
          <w:highlight w:val="none"/>
          <w:lang w:eastAsia="zh-CN"/>
        </w:rPr>
        <w:t>经营主体</w:t>
      </w:r>
      <w:r>
        <w:rPr>
          <w:rFonts w:hint="default" w:ascii="Times New Roman" w:hAnsi="Times New Roman" w:cs="Times New Roman"/>
          <w:szCs w:val="30"/>
          <w:highlight w:val="none"/>
        </w:rPr>
        <w:t>开展信用评价。</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配合国家能源局及其派出机构和政府电力管理部门对交易有关规则进行分析评估，提出修改建议。</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监视和分析市场运行情况，依法依规干预市场，</w:t>
      </w:r>
      <w:r>
        <w:rPr>
          <w:rFonts w:hint="default" w:ascii="Times New Roman" w:hAnsi="Times New Roman" w:cs="Times New Roman"/>
          <w:szCs w:val="30"/>
          <w:highlight w:val="none"/>
          <w:lang w:eastAsia="zh-CN"/>
        </w:rPr>
        <w:t>防控</w:t>
      </w:r>
      <w:r>
        <w:rPr>
          <w:rFonts w:hint="default" w:ascii="Times New Roman" w:hAnsi="Times New Roman" w:cs="Times New Roman"/>
          <w:szCs w:val="30"/>
          <w:highlight w:val="none"/>
        </w:rPr>
        <w:t>市场风险，事后向监管机构和政府相关部门及时报告。</w:t>
      </w:r>
    </w:p>
    <w:p>
      <w:pPr>
        <w:numPr>
          <w:ilvl w:val="0"/>
          <w:numId w:val="4"/>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对</w:t>
      </w:r>
      <w:r>
        <w:rPr>
          <w:rFonts w:hint="eastAsia" w:cs="Times New Roman"/>
          <w:szCs w:val="30"/>
          <w:highlight w:val="none"/>
          <w:lang w:eastAsia="zh-CN"/>
        </w:rPr>
        <w:t>经营主体</w:t>
      </w:r>
      <w:r>
        <w:rPr>
          <w:rFonts w:hint="default" w:ascii="Times New Roman" w:hAnsi="Times New Roman" w:cs="Times New Roman"/>
          <w:szCs w:val="30"/>
          <w:highlight w:val="none"/>
        </w:rPr>
        <w:t>违反交易规则、扰乱市场秩序等违规行为进行报告并配合调查。</w:t>
      </w:r>
    </w:p>
    <w:p>
      <w:p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（十一）法律法规规定的其他权利和义务。</w:t>
      </w:r>
    </w:p>
    <w:p>
      <w:pPr>
        <w:numPr>
          <w:ilvl w:val="0"/>
          <w:numId w:val="1"/>
        </w:numPr>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电力调度机构的权利与义务：</w:t>
      </w:r>
    </w:p>
    <w:p>
      <w:pPr>
        <w:numPr>
          <w:ilvl w:val="0"/>
          <w:numId w:val="5"/>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南网总调会同广州电力交易中心履行市场运营职能，根据交易需要向广州电力交易中心提供安全约束边界和必开机组组合、必开机组发电量需求、影响限额的停电检修、关键通道可用输电容量等数据。</w:t>
      </w:r>
    </w:p>
    <w:p>
      <w:pPr>
        <w:numPr>
          <w:ilvl w:val="0"/>
          <w:numId w:val="5"/>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南网总调负责南方区域跨区跨省电力交易的安全校核，并将校核结果及时反馈广州电力交易中心。南方区域内各级电力调度机构应配合南网总调做好安全校核工作。</w:t>
      </w:r>
    </w:p>
    <w:p>
      <w:pPr>
        <w:numPr>
          <w:ilvl w:val="0"/>
          <w:numId w:val="5"/>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合理安排电网运行方式，依法依规落实电力市场交易结果，保障电力市场正常运行。（因电力调度责任造成实际执行与交易结果偏差时，由电力调度机构所在电网企业承担相应的经济责任）。</w:t>
      </w:r>
    </w:p>
    <w:p>
      <w:pPr>
        <w:numPr>
          <w:ilvl w:val="0"/>
          <w:numId w:val="5"/>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按调度规程实施电力调度，负责系统实时平衡，保障电网安全稳定运行。</w:t>
      </w:r>
    </w:p>
    <w:p>
      <w:pPr>
        <w:numPr>
          <w:ilvl w:val="0"/>
          <w:numId w:val="5"/>
        </w:numPr>
        <w:tabs>
          <w:tab w:val="left" w:pos="604"/>
          <w:tab w:val="left" w:pos="1429"/>
        </w:tabs>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依法依规披露和提供信息，提供支撑电力交易以及市场服务所需的相关数据，按照国家网络安全有关规定实现与电力交易机构的数据交互。</w:t>
      </w:r>
    </w:p>
    <w:p>
      <w:pPr>
        <w:tabs>
          <w:tab w:val="left" w:pos="604"/>
          <w:tab w:val="left" w:pos="1429"/>
        </w:tabs>
        <w:overflowPunct w:val="0"/>
        <w:snapToGrid w:val="0"/>
        <w:spacing w:line="560" w:lineRule="exact"/>
        <w:ind w:left="604" w:firstLine="0"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（六）法律法规所赋予的其他权利和义务。</w:t>
      </w:r>
    </w:p>
    <w:p>
      <w:pPr>
        <w:numPr>
          <w:ilvl w:val="0"/>
          <w:numId w:val="1"/>
        </w:numPr>
        <w:spacing w:line="560" w:lineRule="exact"/>
        <w:ind w:firstLineChars="0"/>
        <w:rPr>
          <w:rFonts w:hint="default" w:ascii="Times New Roman" w:hAnsi="Times New Roman" w:eastAsia="黑体" w:cs="Times New Roman"/>
          <w:szCs w:val="30"/>
          <w:highlight w:val="none"/>
        </w:rPr>
      </w:pPr>
      <w:r>
        <w:rPr>
          <w:rFonts w:hint="default" w:ascii="Times New Roman" w:hAnsi="Times New Roman" w:cs="Times New Roman"/>
          <w:szCs w:val="30"/>
          <w:highlight w:val="none"/>
        </w:rPr>
        <w:t>南方区域内各省级电力交易机构、各级电力调度机构应配合广州电力交易中心做好市场注册、交易组织、交易结算、信息发布等交易服务工作。</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15" w:name="_Toc88663431"/>
      <w:bookmarkStart w:id="16" w:name="_Toc1473"/>
      <w:r>
        <w:rPr>
          <w:rFonts w:hint="default" w:ascii="Times New Roman" w:hAnsi="Times New Roman" w:eastAsia="黑体" w:cs="Times New Roman"/>
          <w:bCs w:val="0"/>
          <w:kern w:val="2"/>
          <w:sz w:val="30"/>
          <w:szCs w:val="30"/>
          <w:highlight w:val="none"/>
        </w:rPr>
        <w:t>市场准入、注册与退出</w:t>
      </w:r>
      <w:bookmarkEnd w:id="15"/>
      <w:bookmarkEnd w:id="16"/>
    </w:p>
    <w:p>
      <w:pPr>
        <w:widowControl/>
        <w:numPr>
          <w:ilvl w:val="0"/>
          <w:numId w:val="1"/>
        </w:numPr>
        <w:overflowPunct w:val="0"/>
        <w:snapToGrid w:val="0"/>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参与南方区域跨区跨省电力交易的</w:t>
      </w:r>
      <w:r>
        <w:rPr>
          <w:rFonts w:hint="eastAsia" w:cs="Times New Roman"/>
          <w:szCs w:val="30"/>
          <w:highlight w:val="none"/>
          <w:lang w:eastAsia="zh-CN"/>
        </w:rPr>
        <w:t>经营主体</w:t>
      </w:r>
      <w:r>
        <w:rPr>
          <w:rFonts w:hint="default" w:ascii="Times New Roman" w:hAnsi="Times New Roman" w:cs="Times New Roman"/>
          <w:szCs w:val="30"/>
          <w:highlight w:val="none"/>
        </w:rPr>
        <w:t>应是具有法人资格、财务独立核算、信用良好、能够独立承担民事责任的经济实体。内部核算的</w:t>
      </w:r>
      <w:r>
        <w:rPr>
          <w:rFonts w:hint="eastAsia" w:cs="Times New Roman"/>
          <w:szCs w:val="30"/>
          <w:highlight w:val="none"/>
          <w:lang w:eastAsia="zh-CN"/>
        </w:rPr>
        <w:t>经营主体</w:t>
      </w:r>
      <w:r>
        <w:rPr>
          <w:rFonts w:hint="default" w:ascii="Times New Roman" w:hAnsi="Times New Roman" w:cs="Times New Roman"/>
          <w:szCs w:val="30"/>
          <w:highlight w:val="none"/>
        </w:rPr>
        <w:t>经法人单位授权，可参与相应电力交易。</w:t>
      </w:r>
    </w:p>
    <w:p>
      <w:pPr>
        <w:widowControl/>
        <w:numPr>
          <w:ilvl w:val="0"/>
          <w:numId w:val="1"/>
        </w:numPr>
        <w:overflowPunct w:val="0"/>
        <w:snapToGrid w:val="0"/>
        <w:spacing w:line="560" w:lineRule="exact"/>
        <w:ind w:left="45" w:leftChars="15" w:firstLine="624"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发电企业准入基本条件:</w:t>
      </w:r>
    </w:p>
    <w:p>
      <w:pPr>
        <w:widowControl/>
        <w:numPr>
          <w:ilvl w:val="0"/>
          <w:numId w:val="0"/>
        </w:numPr>
        <w:tabs>
          <w:tab w:val="left" w:pos="604"/>
          <w:tab w:val="left" w:pos="1429"/>
        </w:tabs>
        <w:overflowPunct w:val="0"/>
        <w:snapToGrid w:val="0"/>
        <w:spacing w:line="560" w:lineRule="exact"/>
        <w:ind w:left="0" w:leftChars="0" w:firstLine="600" w:firstLineChars="0"/>
        <w:jc w:val="left"/>
        <w:rPr>
          <w:rFonts w:hint="eastAsia" w:ascii="Times New Roman" w:hAnsi="Times New Roman" w:eastAsia="仿宋_GB2312" w:cs="Times New Roman"/>
          <w:szCs w:val="30"/>
          <w:highlight w:val="none"/>
          <w:lang w:val="en-US" w:eastAsia="zh-CN"/>
        </w:rPr>
      </w:pPr>
      <w:r>
        <w:rPr>
          <w:rFonts w:hint="default" w:ascii="Times New Roman" w:hAnsi="Times New Roman" w:cs="Times New Roman"/>
          <w:szCs w:val="30"/>
          <w:highlight w:val="none"/>
        </w:rPr>
        <w:t>依法取得发电项目核准或者备案文件，依法取得或者豁免电力业务许可证（发电类）。</w:t>
      </w:r>
      <w:r>
        <w:rPr>
          <w:rFonts w:hint="eastAsia" w:cs="Times New Roman"/>
          <w:szCs w:val="30"/>
          <w:highlight w:val="none"/>
          <w:lang w:val="en-US" w:eastAsia="zh-CN"/>
        </w:rPr>
        <w:t>其中并网自备电厂参与市场交易，除了要依法取得项目核准或备案文件取得或豁免发电类电力业务许可证，还要公平承担社会责任、履行国家政策文件规定的各项责任和义务。分布式发电企业还要符合分布式发电市场化交易试点规则要求。</w:t>
      </w:r>
    </w:p>
    <w:p>
      <w:pPr>
        <w:widowControl/>
        <w:numPr>
          <w:ilvl w:val="0"/>
          <w:numId w:val="1"/>
        </w:numPr>
        <w:overflowPunct w:val="0"/>
        <w:snapToGrid w:val="0"/>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电力用户准入基本条件：</w:t>
      </w:r>
    </w:p>
    <w:p>
      <w:pPr>
        <w:widowControl/>
        <w:numPr>
          <w:ilvl w:val="0"/>
          <w:numId w:val="6"/>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符合电网接入规范、满足电网安全技术要求，与电网企业签订正式供用电协议（合同）。</w:t>
      </w:r>
    </w:p>
    <w:p>
      <w:pPr>
        <w:widowControl/>
        <w:numPr>
          <w:ilvl w:val="0"/>
          <w:numId w:val="6"/>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拥有燃煤自备电厂的用户应当按照国家规定承担政府性基金及附加、政策性交叉补贴。</w:t>
      </w:r>
    </w:p>
    <w:p>
      <w:pPr>
        <w:widowControl/>
        <w:numPr>
          <w:ilvl w:val="0"/>
          <w:numId w:val="6"/>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具备相应的计量能力或者替代技术手段，满足市场计量和结算的要求。</w:t>
      </w:r>
    </w:p>
    <w:p>
      <w:pPr>
        <w:widowControl/>
        <w:numPr>
          <w:ilvl w:val="0"/>
          <w:numId w:val="6"/>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电力用户应全电量参与电力交易。同一年度内，电力用户不得同时参与批发交易和零售交易，参与南方区域跨区跨省电力交易的方式应与省内电力交易保持一致。</w:t>
      </w:r>
    </w:p>
    <w:p>
      <w:pPr>
        <w:widowControl/>
        <w:numPr>
          <w:ilvl w:val="0"/>
          <w:numId w:val="1"/>
        </w:numPr>
        <w:overflowPunct w:val="0"/>
        <w:snapToGrid w:val="0"/>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售电公司准入基本条件：</w:t>
      </w:r>
    </w:p>
    <w:p>
      <w:pPr>
        <w:widowControl/>
        <w:numPr>
          <w:ilvl w:val="0"/>
          <w:numId w:val="0"/>
        </w:numPr>
        <w:tabs>
          <w:tab w:val="left" w:pos="604"/>
          <w:tab w:val="left" w:pos="1429"/>
        </w:tabs>
        <w:overflowPunct w:val="0"/>
        <w:snapToGrid w:val="0"/>
        <w:spacing w:line="560" w:lineRule="exact"/>
        <w:ind w:firstLine="600" w:firstLineChars="2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准入条件按照国家和所在地对售电公司准入与退出有关规定执行。拥有配电网运营权的售电公司应当取得电力业务许可证（供电类）。</w:t>
      </w:r>
    </w:p>
    <w:p>
      <w:pPr>
        <w:widowControl/>
        <w:numPr>
          <w:ilvl w:val="0"/>
          <w:numId w:val="1"/>
        </w:numPr>
        <w:overflowPunct w:val="0"/>
        <w:snapToGrid w:val="0"/>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电网企业作为输电</w:t>
      </w:r>
      <w:r>
        <w:rPr>
          <w:rFonts w:hint="default" w:ascii="Times New Roman" w:hAnsi="Times New Roman" w:cs="Times New Roman"/>
          <w:szCs w:val="30"/>
          <w:highlight w:val="none"/>
          <w:lang w:val="en-US" w:eastAsia="zh-CN"/>
        </w:rPr>
        <w:t>方</w:t>
      </w:r>
      <w:r>
        <w:rPr>
          <w:rFonts w:hint="default" w:ascii="Times New Roman" w:hAnsi="Times New Roman" w:cs="Times New Roman"/>
          <w:szCs w:val="30"/>
          <w:highlight w:val="none"/>
        </w:rPr>
        <w:t>参与南方区域跨区跨省电力交易，应依法取得电力业务许可证。</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eastAsia" w:cs="Times New Roman"/>
          <w:szCs w:val="30"/>
          <w:highlight w:val="none"/>
          <w:lang w:eastAsia="zh-CN"/>
        </w:rPr>
        <w:t>经营主体</w:t>
      </w:r>
      <w:r>
        <w:rPr>
          <w:rFonts w:hint="default" w:ascii="Times New Roman" w:hAnsi="Times New Roman" w:cs="Times New Roman"/>
          <w:szCs w:val="30"/>
          <w:highlight w:val="none"/>
        </w:rPr>
        <w:t>参与南方区域跨区跨省电力交易，应符合准入条件，在电力交易机构办理市场注册，按照规定履行承诺、公示、注册、备案等程序。</w:t>
      </w:r>
      <w:r>
        <w:rPr>
          <w:rFonts w:hint="eastAsia" w:cs="Times New Roman"/>
          <w:szCs w:val="30"/>
          <w:highlight w:val="none"/>
          <w:lang w:eastAsia="zh-CN"/>
        </w:rPr>
        <w:t>经营主体</w:t>
      </w:r>
      <w:r>
        <w:rPr>
          <w:rFonts w:hint="default" w:ascii="Times New Roman" w:hAnsi="Times New Roman" w:cs="Times New Roman"/>
          <w:szCs w:val="30"/>
          <w:highlight w:val="none"/>
        </w:rPr>
        <w:t>应保证注册资料的真实性、完整性。</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发电企业、电力用户、售电公司根据交易需求、调度管理、结算关系等在相应的电力交易机构办理市场注册。各电力交易机构共享注册信息，</w:t>
      </w:r>
      <w:r>
        <w:rPr>
          <w:rFonts w:hint="eastAsia" w:cs="Times New Roman"/>
          <w:szCs w:val="30"/>
          <w:highlight w:val="none"/>
          <w:lang w:eastAsia="zh-CN"/>
        </w:rPr>
        <w:t>经营主体</w:t>
      </w:r>
      <w:r>
        <w:rPr>
          <w:rFonts w:hint="default" w:ascii="Times New Roman" w:hAnsi="Times New Roman" w:cs="Times New Roman"/>
          <w:szCs w:val="30"/>
          <w:highlight w:val="none"/>
        </w:rPr>
        <w:t>无须重复注册。其中：</w:t>
      </w:r>
    </w:p>
    <w:p>
      <w:pPr>
        <w:widowControl/>
        <w:numPr>
          <w:ilvl w:val="0"/>
          <w:numId w:val="7"/>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国家指令性计划、政府间框架协议已经明确为西电东送执行主体的发电企业，在广州电力交易中心办理市场注册；其他发电企业在所在省区电力交易机构办理市场注册。</w:t>
      </w:r>
    </w:p>
    <w:p>
      <w:pPr>
        <w:widowControl/>
        <w:numPr>
          <w:ilvl w:val="0"/>
          <w:numId w:val="7"/>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电力用户在所在省区电力交易机构办理市场注册。注册时，应关联用电户号等实际用电信息。</w:t>
      </w:r>
    </w:p>
    <w:p>
      <w:pPr>
        <w:widowControl/>
        <w:numPr>
          <w:ilvl w:val="0"/>
          <w:numId w:val="7"/>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售电公司原则上在工商注册地所在省区电力交易机构办理市场注册。售电公司在工商注册地以外其他省区开展售电业务，应符合业务所在省区准入条件，履行相应的承诺、公示、备案等程序。</w:t>
      </w:r>
    </w:p>
    <w:p>
      <w:pPr>
        <w:widowControl/>
        <w:numPr>
          <w:ilvl w:val="0"/>
          <w:numId w:val="7"/>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省级及以上电网企业在广州电力交易中心办理市场注册；地方电网企业、增量配电网企业等在所在省区电力交易机构办理市场注册。</w:t>
      </w:r>
    </w:p>
    <w:p>
      <w:pPr>
        <w:widowControl/>
        <w:numPr>
          <w:ilvl w:val="0"/>
          <w:numId w:val="1"/>
        </w:numPr>
        <w:spacing w:line="560" w:lineRule="exact"/>
        <w:ind w:left="45" w:leftChars="15" w:firstLineChars="0"/>
        <w:jc w:val="left"/>
        <w:rPr>
          <w:rFonts w:hint="default"/>
          <w:highlight w:val="none"/>
        </w:rPr>
      </w:pPr>
      <w:r>
        <w:rPr>
          <w:rFonts w:hint="default" w:ascii="Times New Roman" w:hAnsi="Times New Roman" w:cs="Times New Roman"/>
          <w:szCs w:val="30"/>
          <w:highlight w:val="none"/>
        </w:rPr>
        <w:t>同一个</w:t>
      </w:r>
      <w:r>
        <w:rPr>
          <w:rFonts w:hint="eastAsia" w:cs="Times New Roman"/>
          <w:szCs w:val="30"/>
          <w:highlight w:val="none"/>
          <w:lang w:eastAsia="zh-CN"/>
        </w:rPr>
        <w:t>经营主体</w:t>
      </w:r>
      <w:r>
        <w:rPr>
          <w:rFonts w:hint="default" w:ascii="Times New Roman" w:hAnsi="Times New Roman" w:cs="Times New Roman"/>
          <w:szCs w:val="30"/>
          <w:highlight w:val="none"/>
        </w:rPr>
        <w:t>需要以不同的</w:t>
      </w:r>
      <w:r>
        <w:rPr>
          <w:rFonts w:hint="eastAsia" w:cs="Times New Roman"/>
          <w:szCs w:val="30"/>
          <w:highlight w:val="none"/>
          <w:lang w:eastAsia="zh-CN"/>
        </w:rPr>
        <w:t>经营主体</w:t>
      </w:r>
      <w:r>
        <w:rPr>
          <w:rFonts w:hint="default" w:ascii="Times New Roman" w:hAnsi="Times New Roman" w:cs="Times New Roman"/>
          <w:szCs w:val="30"/>
          <w:highlight w:val="none"/>
        </w:rPr>
        <w:t>类别参与电力交易的，应按照不同的</w:t>
      </w:r>
      <w:r>
        <w:rPr>
          <w:rFonts w:hint="eastAsia" w:cs="Times New Roman"/>
          <w:szCs w:val="30"/>
          <w:highlight w:val="none"/>
          <w:lang w:eastAsia="zh-CN"/>
        </w:rPr>
        <w:t>经营主体</w:t>
      </w:r>
      <w:r>
        <w:rPr>
          <w:rFonts w:hint="default" w:ascii="Times New Roman" w:hAnsi="Times New Roman" w:cs="Times New Roman"/>
          <w:szCs w:val="30"/>
          <w:highlight w:val="none"/>
        </w:rPr>
        <w:t>类别分别办理市场注册。</w:t>
      </w:r>
      <w:r>
        <w:rPr>
          <w:rFonts w:hint="eastAsia" w:cs="Times New Roman"/>
          <w:szCs w:val="30"/>
          <w:highlight w:val="none"/>
          <w:lang w:val="en-US" w:eastAsia="zh-CN"/>
        </w:rPr>
        <w:t>发电企业扣除</w:t>
      </w:r>
      <w:r>
        <w:rPr>
          <w:rFonts w:hint="default" w:ascii="Times New Roman" w:hAnsi="Times New Roman" w:cs="Times New Roman"/>
          <w:szCs w:val="30"/>
          <w:highlight w:val="none"/>
        </w:rPr>
        <w:t>跨区跨省交易成交结果</w:t>
      </w:r>
      <w:r>
        <w:rPr>
          <w:rFonts w:hint="eastAsia" w:cs="Times New Roman"/>
          <w:szCs w:val="30"/>
          <w:highlight w:val="none"/>
          <w:lang w:val="en-US" w:eastAsia="zh-CN"/>
        </w:rPr>
        <w:t>后的发电能力</w:t>
      </w:r>
      <w:r>
        <w:rPr>
          <w:rFonts w:hint="default" w:ascii="Times New Roman" w:hAnsi="Times New Roman" w:cs="Times New Roman"/>
          <w:szCs w:val="30"/>
          <w:highlight w:val="none"/>
        </w:rPr>
        <w:t>不影响</w:t>
      </w:r>
      <w:r>
        <w:rPr>
          <w:rFonts w:hint="eastAsia" w:cs="Times New Roman"/>
          <w:szCs w:val="30"/>
          <w:highlight w:val="none"/>
          <w:lang w:val="en-US" w:eastAsia="zh-CN"/>
        </w:rPr>
        <w:t>其</w:t>
      </w:r>
      <w:r>
        <w:rPr>
          <w:rFonts w:hint="default" w:ascii="Times New Roman" w:hAnsi="Times New Roman" w:cs="Times New Roman"/>
          <w:szCs w:val="30"/>
          <w:highlight w:val="none"/>
        </w:rPr>
        <w:t>参与省内交易。</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当国家政策调整或者交易规则发生重大变化时，电力交易机构可组织已注册</w:t>
      </w:r>
      <w:r>
        <w:rPr>
          <w:rFonts w:hint="eastAsia" w:cs="Times New Roman"/>
          <w:szCs w:val="30"/>
          <w:highlight w:val="none"/>
          <w:lang w:eastAsia="zh-CN"/>
        </w:rPr>
        <w:t>经营主体</w:t>
      </w:r>
      <w:r>
        <w:rPr>
          <w:rFonts w:hint="default" w:ascii="Times New Roman" w:hAnsi="Times New Roman" w:cs="Times New Roman"/>
          <w:szCs w:val="30"/>
          <w:highlight w:val="none"/>
        </w:rPr>
        <w:t>补充相关注册信息，或重新办理市场注册。</w:t>
      </w:r>
    </w:p>
    <w:p>
      <w:pPr>
        <w:numPr>
          <w:ilvl w:val="0"/>
          <w:numId w:val="1"/>
        </w:numPr>
        <w:spacing w:line="560" w:lineRule="exact"/>
        <w:ind w:firstLineChars="0"/>
        <w:rPr>
          <w:rFonts w:hint="default" w:ascii="Times New Roman" w:hAnsi="Times New Roman" w:cs="Times New Roman"/>
          <w:szCs w:val="30"/>
          <w:highlight w:val="none"/>
        </w:rPr>
      </w:pPr>
      <w:r>
        <w:rPr>
          <w:rFonts w:hint="eastAsia" w:cs="Times New Roman"/>
          <w:szCs w:val="30"/>
          <w:highlight w:val="none"/>
          <w:lang w:eastAsia="zh-CN"/>
        </w:rPr>
        <w:t>经营主体</w:t>
      </w:r>
      <w:r>
        <w:rPr>
          <w:rFonts w:hint="default" w:ascii="Times New Roman" w:hAnsi="Times New Roman" w:cs="Times New Roman"/>
          <w:szCs w:val="30"/>
          <w:highlight w:val="none"/>
        </w:rPr>
        <w:t>注册信息发生变更时，应及时向电力交易机构提出变更申请。</w:t>
      </w:r>
    </w:p>
    <w:p>
      <w:pPr>
        <w:widowControl/>
        <w:numPr>
          <w:ilvl w:val="0"/>
          <w:numId w:val="8"/>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售电公司的法人、业务范围、公司股东、股权结构等重要注册信息发生变化的，应再次履行承诺、公示程序。</w:t>
      </w:r>
    </w:p>
    <w:p>
      <w:pPr>
        <w:widowControl/>
        <w:numPr>
          <w:ilvl w:val="0"/>
          <w:numId w:val="8"/>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电力用户在电网企业办理供电业务，涉及用户名称、报装容量、用电类别、电压等级等注册信息发生变化的，应同时在电力交易机构办理市场注册信息变更手续。注册信息变更期间，电网企业应向电力交易机构提供分段计量数据。</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eastAsia" w:cs="Times New Roman"/>
          <w:szCs w:val="30"/>
          <w:highlight w:val="none"/>
          <w:lang w:eastAsia="zh-CN"/>
        </w:rPr>
        <w:t>经营主体</w:t>
      </w:r>
      <w:r>
        <w:rPr>
          <w:rFonts w:hint="default" w:ascii="Times New Roman" w:hAnsi="Times New Roman" w:cs="Times New Roman"/>
          <w:szCs w:val="30"/>
          <w:highlight w:val="none"/>
        </w:rPr>
        <w:t>退出市场，应妥善处理包括跨区跨省电力交易在内的全部合同义务，按规定办理退市手续。</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eastAsia" w:cs="Times New Roman"/>
          <w:szCs w:val="30"/>
          <w:highlight w:val="none"/>
          <w:lang w:eastAsia="zh-CN"/>
        </w:rPr>
        <w:t>经营主体</w:t>
      </w:r>
      <w:r>
        <w:rPr>
          <w:rFonts w:hint="default" w:ascii="Times New Roman" w:hAnsi="Times New Roman" w:cs="Times New Roman"/>
          <w:szCs w:val="30"/>
          <w:highlight w:val="none"/>
        </w:rPr>
        <w:t>在参与南方区域跨区跨省电力交易过程中，存在滥用市场力、严重违反规则等扰乱市场秩序的不良交易行为时，可进行市场内部曝光;对于严重违反交易规则的行为，可由国家能源局及相关派出机构依据《电力监管条例》等有关规定处理</w:t>
      </w:r>
      <w:r>
        <w:rPr>
          <w:rFonts w:hint="eastAsia" w:cs="Times New Roman"/>
          <w:szCs w:val="30"/>
          <w:highlight w:val="none"/>
          <w:lang w:eastAsia="zh-CN"/>
        </w:rPr>
        <w:t>经营主体</w:t>
      </w:r>
      <w:r>
        <w:rPr>
          <w:rFonts w:hint="default" w:ascii="Times New Roman" w:hAnsi="Times New Roman" w:cs="Times New Roman"/>
          <w:szCs w:val="30"/>
          <w:highlight w:val="none"/>
        </w:rPr>
        <w:t>。</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无正当理由退市的</w:t>
      </w:r>
      <w:r>
        <w:rPr>
          <w:rFonts w:hint="eastAsia" w:cs="Times New Roman"/>
          <w:szCs w:val="30"/>
          <w:highlight w:val="none"/>
          <w:lang w:eastAsia="zh-CN"/>
        </w:rPr>
        <w:t>经营主体</w:t>
      </w:r>
      <w:r>
        <w:rPr>
          <w:rFonts w:hint="default" w:ascii="Times New Roman" w:hAnsi="Times New Roman" w:cs="Times New Roman"/>
          <w:szCs w:val="30"/>
          <w:highlight w:val="none"/>
        </w:rPr>
        <w:t>，原则上原</w:t>
      </w:r>
      <w:r>
        <w:rPr>
          <w:rFonts w:hint="default" w:ascii="Times New Roman" w:hAnsi="Times New Roman" w:cs="Times New Roman"/>
          <w:szCs w:val="30"/>
          <w:highlight w:val="none"/>
          <w:lang w:val="en-US" w:eastAsia="zh-CN"/>
        </w:rPr>
        <w:t>法定代表人</w:t>
      </w:r>
      <w:r>
        <w:rPr>
          <w:rFonts w:hint="default" w:ascii="Times New Roman" w:hAnsi="Times New Roman" w:cs="Times New Roman"/>
          <w:szCs w:val="30"/>
          <w:highlight w:val="none"/>
        </w:rPr>
        <w:t>以及其法人代表三年内均不得直接参与南方区域跨区跨省交易。</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17" w:name="_Toc88663432"/>
      <w:bookmarkStart w:id="18" w:name="_Toc26700"/>
      <w:bookmarkStart w:id="19" w:name="_Toc503381421"/>
      <w:bookmarkStart w:id="20" w:name="_Toc521936258"/>
      <w:bookmarkStart w:id="21" w:name="_Toc32250"/>
      <w:bookmarkStart w:id="22" w:name="_Toc505691899"/>
      <w:r>
        <w:rPr>
          <w:rFonts w:hint="default" w:ascii="Times New Roman" w:hAnsi="Times New Roman" w:eastAsia="黑体" w:cs="Times New Roman"/>
          <w:bCs w:val="0"/>
          <w:kern w:val="2"/>
          <w:sz w:val="30"/>
          <w:szCs w:val="30"/>
          <w:highlight w:val="none"/>
        </w:rPr>
        <w:t>交易品种</w:t>
      </w:r>
      <w:bookmarkEnd w:id="17"/>
      <w:bookmarkEnd w:id="18"/>
    </w:p>
    <w:bookmarkEnd w:id="19"/>
    <w:bookmarkEnd w:id="20"/>
    <w:bookmarkEnd w:id="21"/>
    <w:bookmarkEnd w:id="22"/>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南方区域跨区跨省电力中长期交易的标的为电能量，具体包括电量交易和根据市场需求灵活开展发电权交易、合同转让等合同交易</w:t>
      </w:r>
      <w:r>
        <w:rPr>
          <w:rFonts w:hint="default" w:ascii="Times New Roman" w:hAnsi="Times New Roman" w:cs="Times New Roman"/>
          <w:szCs w:val="30"/>
          <w:highlight w:val="none"/>
          <w:lang w:eastAsia="zh-CN"/>
        </w:rPr>
        <w:t>。</w:t>
      </w:r>
    </w:p>
    <w:p>
      <w:pPr>
        <w:widowControl/>
        <w:numPr>
          <w:ilvl w:val="0"/>
          <w:numId w:val="1"/>
        </w:numPr>
        <w:spacing w:line="560" w:lineRule="exact"/>
        <w:ind w:left="45" w:leftChars="15" w:firstLineChars="0"/>
        <w:jc w:val="left"/>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val="en-US" w:eastAsia="zh-CN"/>
        </w:rPr>
        <w:t>电量交易包括</w:t>
      </w:r>
      <w:r>
        <w:rPr>
          <w:rFonts w:hint="eastAsia" w:cs="Times New Roman"/>
          <w:color w:val="000000"/>
          <w:szCs w:val="30"/>
          <w:highlight w:val="none"/>
          <w:lang w:val="en-US" w:eastAsia="zh-CN"/>
        </w:rPr>
        <w:t>跨省跨区优先发电规模计划电量</w:t>
      </w:r>
      <w:r>
        <w:rPr>
          <w:rFonts w:hint="default" w:ascii="Times New Roman" w:hAnsi="Times New Roman" w:cs="Times New Roman"/>
          <w:color w:val="000000"/>
          <w:szCs w:val="30"/>
          <w:highlight w:val="none"/>
          <w:lang w:val="en-US" w:eastAsia="zh-CN"/>
        </w:rPr>
        <w:t>、增量电量，其中</w:t>
      </w:r>
      <w:r>
        <w:rPr>
          <w:rFonts w:hint="eastAsia" w:cs="Times New Roman"/>
          <w:color w:val="000000"/>
          <w:szCs w:val="30"/>
          <w:highlight w:val="none"/>
          <w:lang w:val="en-US" w:eastAsia="zh-CN"/>
        </w:rPr>
        <w:t>跨省跨区优先发电规模计划电量</w:t>
      </w:r>
      <w:r>
        <w:rPr>
          <w:rFonts w:hint="default" w:ascii="Times New Roman" w:hAnsi="Times New Roman" w:cs="Times New Roman"/>
          <w:color w:val="000000"/>
          <w:szCs w:val="30"/>
          <w:highlight w:val="none"/>
          <w:lang w:val="en-US" w:eastAsia="zh-CN"/>
        </w:rPr>
        <w:t>包括保量保价</w:t>
      </w:r>
      <w:r>
        <w:rPr>
          <w:rFonts w:hint="eastAsia" w:cs="Times New Roman"/>
          <w:color w:val="000000"/>
          <w:szCs w:val="30"/>
          <w:highlight w:val="none"/>
          <w:lang w:val="en-US" w:eastAsia="zh-CN"/>
        </w:rPr>
        <w:t>电量</w:t>
      </w:r>
      <w:r>
        <w:rPr>
          <w:rFonts w:hint="default" w:ascii="Times New Roman" w:hAnsi="Times New Roman" w:cs="Times New Roman"/>
          <w:color w:val="000000"/>
          <w:szCs w:val="30"/>
          <w:highlight w:val="none"/>
          <w:lang w:val="en-US" w:eastAsia="zh-CN"/>
        </w:rPr>
        <w:t>、保量竞价</w:t>
      </w:r>
      <w:r>
        <w:rPr>
          <w:rFonts w:hint="eastAsia" w:cs="Times New Roman"/>
          <w:color w:val="000000"/>
          <w:szCs w:val="30"/>
          <w:highlight w:val="none"/>
          <w:lang w:val="en-US" w:eastAsia="zh-CN"/>
        </w:rPr>
        <w:t>电量</w:t>
      </w:r>
      <w:r>
        <w:rPr>
          <w:rFonts w:hint="default" w:ascii="Times New Roman" w:hAnsi="Times New Roman" w:cs="Times New Roman"/>
          <w:color w:val="000000"/>
          <w:szCs w:val="30"/>
          <w:highlight w:val="none"/>
          <w:lang w:val="en-US" w:eastAsia="zh-CN"/>
        </w:rPr>
        <w:t>。</w:t>
      </w:r>
    </w:p>
    <w:p>
      <w:pPr>
        <w:widowControl/>
        <w:numPr>
          <w:ilvl w:val="0"/>
          <w:numId w:val="9"/>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是指根据国家指令性计划、地方政府框架协议确定的电量。</w:t>
      </w:r>
    </w:p>
    <w:p>
      <w:pPr>
        <w:widowControl/>
        <w:numPr>
          <w:ilvl w:val="0"/>
          <w:numId w:val="9"/>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增量电量是指</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之外，利用省间输电通道富余能力增送的电量。</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合同交易包括送电合同、发电合同和用电合同。合同交易按</w:t>
      </w:r>
      <w:r>
        <w:rPr>
          <w:rFonts w:hint="eastAsia" w:cs="Times New Roman"/>
          <w:szCs w:val="30"/>
          <w:highlight w:val="none"/>
          <w:lang w:eastAsia="zh-CN"/>
        </w:rPr>
        <w:t>经营主体</w:t>
      </w:r>
      <w:r>
        <w:rPr>
          <w:rFonts w:hint="default" w:ascii="Times New Roman" w:hAnsi="Times New Roman" w:cs="Times New Roman"/>
          <w:szCs w:val="30"/>
          <w:highlight w:val="none"/>
        </w:rPr>
        <w:t>需求，不定期组织。其中：</w:t>
      </w:r>
    </w:p>
    <w:p>
      <w:pPr>
        <w:widowControl/>
        <w:numPr>
          <w:ilvl w:val="0"/>
          <w:numId w:val="10"/>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送电合同是指在南方区域跨区跨省电力市场形成的、已明确到发电或送电主体的交易合同。</w:t>
      </w:r>
    </w:p>
    <w:p>
      <w:pPr>
        <w:widowControl/>
        <w:numPr>
          <w:ilvl w:val="0"/>
          <w:numId w:val="10"/>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发电合同是指受电省区发电企业在所在省区省内电力市场形成的交易合同。</w:t>
      </w:r>
    </w:p>
    <w:p>
      <w:pPr>
        <w:widowControl/>
        <w:numPr>
          <w:ilvl w:val="0"/>
          <w:numId w:val="10"/>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用电合同是指受电省区电力用户、售电公司在南方区域跨区跨省电力市场形成的交易合同，原则上不能跨省区交易。</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电量</w:t>
      </w:r>
      <w:r>
        <w:rPr>
          <w:rFonts w:hint="default" w:ascii="Times New Roman" w:hAnsi="Times New Roman" w:cs="Times New Roman"/>
          <w:szCs w:val="30"/>
          <w:highlight w:val="none"/>
        </w:rPr>
        <w:t>交易类型分为外送交易和直接交易，其中：</w:t>
      </w:r>
    </w:p>
    <w:p>
      <w:pPr>
        <w:widowControl/>
        <w:numPr>
          <w:ilvl w:val="0"/>
          <w:numId w:val="11"/>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外送交易是指买方主体为电网企业的交易。</w:t>
      </w:r>
    </w:p>
    <w:p>
      <w:pPr>
        <w:widowControl/>
        <w:numPr>
          <w:ilvl w:val="0"/>
          <w:numId w:val="11"/>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直接交易是指买方主体为电力用户、售电公司、</w:t>
      </w:r>
      <w:r>
        <w:rPr>
          <w:rFonts w:hint="default" w:ascii="Times New Roman" w:hAnsi="Times New Roman" w:cs="Times New Roman"/>
          <w:szCs w:val="30"/>
          <w:highlight w:val="none"/>
          <w:lang w:val="en-US" w:eastAsia="zh-CN"/>
        </w:rPr>
        <w:t>储能企业</w:t>
      </w:r>
      <w:r>
        <w:rPr>
          <w:rFonts w:hint="default" w:ascii="Times New Roman" w:hAnsi="Times New Roman" w:cs="Times New Roman"/>
          <w:szCs w:val="30"/>
          <w:highlight w:val="none"/>
        </w:rPr>
        <w:t>的交易。</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合同</w:t>
      </w:r>
      <w:r>
        <w:rPr>
          <w:rFonts w:hint="default" w:ascii="Times New Roman" w:hAnsi="Times New Roman" w:cs="Times New Roman"/>
          <w:szCs w:val="30"/>
          <w:highlight w:val="none"/>
        </w:rPr>
        <w:t>交易类型分为转让交易、置换交易</w:t>
      </w:r>
      <w:r>
        <w:rPr>
          <w:rFonts w:hint="eastAsia" w:cs="Times New Roman"/>
          <w:szCs w:val="30"/>
          <w:highlight w:val="none"/>
          <w:lang w:eastAsia="zh-CN"/>
        </w:rPr>
        <w:t>、回购交易</w:t>
      </w:r>
      <w:r>
        <w:rPr>
          <w:rFonts w:hint="default" w:ascii="Times New Roman" w:hAnsi="Times New Roman" w:cs="Times New Roman"/>
          <w:szCs w:val="30"/>
          <w:highlight w:val="none"/>
        </w:rPr>
        <w:t>。其中：</w:t>
      </w:r>
    </w:p>
    <w:p>
      <w:pPr>
        <w:widowControl/>
        <w:numPr>
          <w:ilvl w:val="0"/>
          <w:numId w:val="12"/>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转让交易是指</w:t>
      </w:r>
      <w:r>
        <w:rPr>
          <w:rFonts w:hint="eastAsia" w:cs="Times New Roman"/>
          <w:szCs w:val="30"/>
          <w:highlight w:val="none"/>
          <w:lang w:eastAsia="zh-CN"/>
        </w:rPr>
        <w:t>经营主体</w:t>
      </w:r>
      <w:r>
        <w:rPr>
          <w:rFonts w:hint="default" w:ascii="Times New Roman" w:hAnsi="Times New Roman" w:cs="Times New Roman"/>
          <w:szCs w:val="30"/>
          <w:highlight w:val="none"/>
        </w:rPr>
        <w:t>将合同约定的交易标的全部或部分出让给其他</w:t>
      </w:r>
      <w:r>
        <w:rPr>
          <w:rFonts w:hint="eastAsia" w:cs="Times New Roman"/>
          <w:szCs w:val="30"/>
          <w:highlight w:val="none"/>
          <w:lang w:eastAsia="zh-CN"/>
        </w:rPr>
        <w:t>经营主体</w:t>
      </w:r>
      <w:r>
        <w:rPr>
          <w:rFonts w:hint="default" w:ascii="Times New Roman" w:hAnsi="Times New Roman" w:cs="Times New Roman"/>
          <w:szCs w:val="30"/>
          <w:highlight w:val="none"/>
        </w:rPr>
        <w:t>执行的交易形式。转让交易中，合同出让方交易标的数量减少，合同受让方交易标的数量增加。发电合同、送电合同转让原则上鼓励清洁高效机组替代低效机组发电。</w:t>
      </w:r>
    </w:p>
    <w:p>
      <w:pPr>
        <w:widowControl/>
        <w:numPr>
          <w:ilvl w:val="0"/>
          <w:numId w:val="12"/>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置换交易是指</w:t>
      </w:r>
      <w:r>
        <w:rPr>
          <w:rFonts w:hint="eastAsia" w:cs="Times New Roman"/>
          <w:szCs w:val="30"/>
          <w:highlight w:val="none"/>
          <w:lang w:eastAsia="zh-CN"/>
        </w:rPr>
        <w:t>经营主体</w:t>
      </w:r>
      <w:r>
        <w:rPr>
          <w:rFonts w:hint="default" w:ascii="Times New Roman" w:hAnsi="Times New Roman" w:cs="Times New Roman"/>
          <w:szCs w:val="30"/>
          <w:highlight w:val="none"/>
        </w:rPr>
        <w:t>将合同约定的交易标的在同一个交易周期内</w:t>
      </w:r>
      <w:r>
        <w:rPr>
          <w:rFonts w:hint="default" w:ascii="Times New Roman" w:hAnsi="Times New Roman" w:cs="Times New Roman"/>
          <w:szCs w:val="30"/>
          <w:highlight w:val="none"/>
          <w:lang w:eastAsia="zh-CN"/>
        </w:rPr>
        <w:t>，按照交易标的总量保持不变的原则在</w:t>
      </w:r>
      <w:r>
        <w:rPr>
          <w:rFonts w:hint="default" w:ascii="Times New Roman" w:hAnsi="Times New Roman" w:cs="Times New Roman"/>
          <w:szCs w:val="30"/>
          <w:highlight w:val="none"/>
        </w:rPr>
        <w:t>不同时间段之间</w:t>
      </w:r>
      <w:r>
        <w:rPr>
          <w:rFonts w:hint="default" w:ascii="Times New Roman" w:hAnsi="Times New Roman" w:cs="Times New Roman"/>
          <w:szCs w:val="30"/>
          <w:highlight w:val="none"/>
          <w:lang w:eastAsia="zh-CN"/>
        </w:rPr>
        <w:t>调整交易电量的一种交易方式。</w:t>
      </w:r>
    </w:p>
    <w:p>
      <w:pPr>
        <w:widowControl/>
        <w:numPr>
          <w:ilvl w:val="0"/>
          <w:numId w:val="12"/>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eastAsia" w:cs="Times New Roman"/>
          <w:szCs w:val="30"/>
          <w:highlight w:val="none"/>
          <w:lang w:eastAsia="zh-CN"/>
        </w:rPr>
        <w:t>回购交易是指经营主体经协商一致，减少合同约定的交易标的数量的交易形式。回购交易中，合同交易双方交易标的数量同时减少。</w:t>
      </w:r>
    </w:p>
    <w:p>
      <w:pPr>
        <w:widowControl/>
        <w:numPr>
          <w:ilvl w:val="0"/>
          <w:numId w:val="1"/>
        </w:numPr>
        <w:spacing w:line="560" w:lineRule="exact"/>
        <w:ind w:left="45" w:leftChars="15"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南方区域跨区跨省电力中长期交易品种根据交易标的、交易类型确定。</w:t>
      </w:r>
      <w:r>
        <w:rPr>
          <w:rFonts w:hint="default" w:ascii="Times New Roman" w:hAnsi="Times New Roman" w:cs="Times New Roman"/>
          <w:highlight w:val="none"/>
        </w:rPr>
        <w:t>各年度实施的交易品种见附件</w:t>
      </w:r>
      <w:r>
        <w:rPr>
          <w:rFonts w:hint="default" w:ascii="Times New Roman" w:hAnsi="Times New Roman" w:cs="Times New Roman"/>
          <w:szCs w:val="30"/>
          <w:highlight w:val="none"/>
          <w:lang w:val="en-US" w:eastAsia="zh-CN"/>
        </w:rPr>
        <w:t>1</w:t>
      </w:r>
      <w:r>
        <w:rPr>
          <w:rFonts w:hint="default" w:ascii="Times New Roman" w:hAnsi="Times New Roman" w:cs="Times New Roman"/>
          <w:highlight w:val="none"/>
        </w:rPr>
        <w:t>。</w:t>
      </w:r>
    </w:p>
    <w:p>
      <w:pPr>
        <w:widowControl/>
        <w:numPr>
          <w:ilvl w:val="0"/>
          <w:numId w:val="1"/>
        </w:numPr>
        <w:spacing w:line="560" w:lineRule="exact"/>
        <w:ind w:left="45" w:leftChars="15" w:firstLineChars="0"/>
        <w:jc w:val="left"/>
        <w:rPr>
          <w:rFonts w:hint="default"/>
          <w:szCs w:val="30"/>
          <w:highlight w:val="none"/>
        </w:rPr>
      </w:pPr>
      <w:r>
        <w:rPr>
          <w:rFonts w:hint="default" w:ascii="Times New Roman" w:hAnsi="Times New Roman" w:eastAsia="仿宋_GB2312" w:cs="Times New Roman"/>
          <w:color w:val="auto"/>
          <w:sz w:val="30"/>
          <w:szCs w:val="30"/>
          <w:highlight w:val="none"/>
          <w:lang w:val="en-US" w:eastAsia="zh-CN"/>
        </w:rPr>
        <w:t>按照统一规范，设置南方区域跨区跨省电力中长期交易送电类别</w:t>
      </w:r>
      <w:r>
        <w:rPr>
          <w:rFonts w:hint="eastAsia" w:cs="Times New Roman"/>
          <w:color w:val="auto"/>
          <w:sz w:val="30"/>
          <w:szCs w:val="30"/>
          <w:highlight w:val="none"/>
          <w:lang w:val="en-US" w:eastAsia="zh-CN"/>
        </w:rPr>
        <w:t>。同一</w:t>
      </w:r>
      <w:r>
        <w:rPr>
          <w:rFonts w:hint="default" w:ascii="Times New Roman" w:hAnsi="Times New Roman" w:eastAsia="仿宋_GB2312" w:cs="Times New Roman"/>
          <w:color w:val="auto"/>
          <w:sz w:val="30"/>
          <w:szCs w:val="30"/>
          <w:highlight w:val="none"/>
          <w:lang w:val="en-US" w:eastAsia="zh-CN"/>
        </w:rPr>
        <w:t>送电类别</w:t>
      </w:r>
      <w:r>
        <w:rPr>
          <w:rFonts w:hint="default" w:ascii="Times New Roman" w:hAnsi="Times New Roman" w:eastAsia="仿宋_GB2312" w:cs="Times New Roman"/>
          <w:b w:val="0"/>
          <w:bCs w:val="0"/>
          <w:color w:val="auto"/>
          <w:kern w:val="2"/>
          <w:sz w:val="30"/>
          <w:szCs w:val="30"/>
          <w:highlight w:val="none"/>
          <w:lang w:val="en-US" w:eastAsia="zh-CN" w:bidi="ar-SA"/>
        </w:rPr>
        <w:t>归属于同一送受电区域、共用相同输电通道且具有相同省间综合线损率</w:t>
      </w:r>
      <w:r>
        <w:rPr>
          <w:rFonts w:hint="eastAsia" w:cs="Times New Roman"/>
          <w:b w:val="0"/>
          <w:bCs w:val="0"/>
          <w:color w:val="auto"/>
          <w:kern w:val="2"/>
          <w:sz w:val="30"/>
          <w:szCs w:val="30"/>
          <w:highlight w:val="none"/>
          <w:lang w:val="en-US" w:eastAsia="zh-CN" w:bidi="ar-SA"/>
        </w:rPr>
        <w:t>。送电类别的分类可</w:t>
      </w:r>
      <w:r>
        <w:rPr>
          <w:rFonts w:hint="default" w:ascii="Times New Roman" w:hAnsi="Times New Roman" w:cs="Times New Roman"/>
          <w:color w:val="auto"/>
          <w:sz w:val="30"/>
          <w:szCs w:val="30"/>
          <w:highlight w:val="none"/>
          <w:lang w:val="en-US" w:eastAsia="zh-CN"/>
        </w:rPr>
        <w:t>随着市场建设和</w:t>
      </w:r>
      <w:r>
        <w:rPr>
          <w:rFonts w:hint="default" w:cs="Times New Roman"/>
          <w:szCs w:val="30"/>
          <w:highlight w:val="none"/>
          <w:lang w:eastAsia="zh-CN"/>
        </w:rPr>
        <w:t>经营主体</w:t>
      </w:r>
      <w:r>
        <w:rPr>
          <w:rFonts w:hint="default" w:ascii="Times New Roman" w:hAnsi="Times New Roman" w:cs="Times New Roman"/>
          <w:color w:val="auto"/>
          <w:sz w:val="30"/>
          <w:szCs w:val="30"/>
          <w:highlight w:val="none"/>
          <w:lang w:val="en-US" w:eastAsia="zh-CN"/>
        </w:rPr>
        <w:t>的需求滚动更新</w:t>
      </w:r>
      <w:r>
        <w:rPr>
          <w:rFonts w:hint="default" w:ascii="Times New Roman" w:hAnsi="Times New Roman" w:cs="Times New Roman"/>
          <w:szCs w:val="30"/>
          <w:highlight w:val="none"/>
        </w:rPr>
        <w:t>。</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23" w:name="_Toc503381424"/>
      <w:bookmarkStart w:id="24" w:name="_Toc88663433"/>
      <w:bookmarkStart w:id="25" w:name="_Toc521936261"/>
      <w:bookmarkStart w:id="26" w:name="_Toc3223"/>
      <w:bookmarkStart w:id="27" w:name="_Toc22243"/>
      <w:bookmarkStart w:id="28" w:name="_Toc505691902"/>
      <w:r>
        <w:rPr>
          <w:rFonts w:hint="default" w:ascii="Times New Roman" w:hAnsi="Times New Roman" w:eastAsia="黑体" w:cs="Times New Roman"/>
          <w:bCs w:val="0"/>
          <w:kern w:val="2"/>
          <w:sz w:val="30"/>
          <w:szCs w:val="30"/>
          <w:highlight w:val="none"/>
        </w:rPr>
        <w:t>价格机制</w:t>
      </w:r>
      <w:bookmarkEnd w:id="23"/>
      <w:bookmarkEnd w:id="24"/>
      <w:bookmarkEnd w:id="25"/>
      <w:bookmarkEnd w:id="26"/>
      <w:bookmarkEnd w:id="27"/>
      <w:bookmarkEnd w:id="28"/>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南方区域跨区跨省电力交易落实国家指令性计划、政府间框架协议的，应在交易中根据国家指令性计划、政府间框架协议形成成交价格；其他交易的成交价格由</w:t>
      </w:r>
      <w:r>
        <w:rPr>
          <w:rFonts w:hint="eastAsia" w:cs="Times New Roman"/>
          <w:szCs w:val="30"/>
          <w:highlight w:val="none"/>
          <w:lang w:eastAsia="zh-CN"/>
        </w:rPr>
        <w:t>经营主体</w:t>
      </w:r>
      <w:r>
        <w:rPr>
          <w:rFonts w:hint="default" w:ascii="Times New Roman" w:hAnsi="Times New Roman" w:cs="Times New Roman"/>
          <w:szCs w:val="30"/>
          <w:highlight w:val="none"/>
        </w:rPr>
        <w:t>通过协商交易、竞价交易、挂牌交易和预招标交易等方式形成，第三方不得干预。鼓励</w:t>
      </w:r>
      <w:r>
        <w:rPr>
          <w:rFonts w:hint="eastAsia" w:cs="Times New Roman"/>
          <w:szCs w:val="30"/>
          <w:highlight w:val="none"/>
          <w:lang w:eastAsia="zh-CN"/>
        </w:rPr>
        <w:t>经营主体</w:t>
      </w:r>
      <w:r>
        <w:rPr>
          <w:rFonts w:hint="default" w:ascii="Times New Roman" w:hAnsi="Times New Roman" w:cs="Times New Roman"/>
          <w:szCs w:val="30"/>
          <w:highlight w:val="none"/>
        </w:rPr>
        <w:t>分段定价，</w:t>
      </w:r>
      <w:r>
        <w:rPr>
          <w:rFonts w:hint="default" w:ascii="Times New Roman" w:hAnsi="Times New Roman" w:cs="Times New Roman"/>
          <w:szCs w:val="30"/>
          <w:highlight w:val="none"/>
          <w:lang w:val="en-US" w:eastAsia="zh-CN"/>
        </w:rPr>
        <w:t>形成市场化分时价格信号</w:t>
      </w:r>
      <w:r>
        <w:rPr>
          <w:rFonts w:hint="default" w:ascii="Times New Roman" w:hAnsi="Times New Roman" w:cs="Times New Roman"/>
          <w:szCs w:val="30"/>
          <w:highlight w:val="none"/>
        </w:rPr>
        <w:t>。</w:t>
      </w:r>
    </w:p>
    <w:p>
      <w:pPr>
        <w:widowControl/>
        <w:numPr>
          <w:ilvl w:val="0"/>
          <w:numId w:val="13"/>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协商交易是指</w:t>
      </w:r>
      <w:r>
        <w:rPr>
          <w:rFonts w:hint="eastAsia" w:cs="Times New Roman"/>
          <w:szCs w:val="30"/>
          <w:highlight w:val="none"/>
          <w:lang w:eastAsia="zh-CN"/>
        </w:rPr>
        <w:t>经营主体</w:t>
      </w:r>
      <w:r>
        <w:rPr>
          <w:rFonts w:hint="default" w:ascii="Times New Roman" w:hAnsi="Times New Roman" w:cs="Times New Roman"/>
          <w:szCs w:val="30"/>
          <w:highlight w:val="none"/>
        </w:rPr>
        <w:t>之间自主协商交易标的的数量、价格等交易初步意向，通过交易平台进行申报确认成交，形成成交价格。协商交易的成交价格为价格机制的，广州电力交易中心应及时披露交易执行情况，组织</w:t>
      </w:r>
      <w:r>
        <w:rPr>
          <w:rFonts w:hint="eastAsia" w:cs="Times New Roman"/>
          <w:szCs w:val="30"/>
          <w:highlight w:val="none"/>
          <w:lang w:eastAsia="zh-CN"/>
        </w:rPr>
        <w:t>经营主体</w:t>
      </w:r>
      <w:r>
        <w:rPr>
          <w:rFonts w:hint="default" w:ascii="Times New Roman" w:hAnsi="Times New Roman" w:cs="Times New Roman"/>
          <w:szCs w:val="30"/>
          <w:highlight w:val="none"/>
        </w:rPr>
        <w:t>通过交易平台申报确认，形成最终成交价格。</w:t>
      </w:r>
    </w:p>
    <w:p>
      <w:pPr>
        <w:widowControl/>
        <w:numPr>
          <w:ilvl w:val="0"/>
          <w:numId w:val="13"/>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挂牌交易指</w:t>
      </w:r>
      <w:r>
        <w:rPr>
          <w:rFonts w:hint="eastAsia" w:cs="Times New Roman"/>
          <w:szCs w:val="30"/>
          <w:highlight w:val="none"/>
          <w:lang w:eastAsia="zh-CN"/>
        </w:rPr>
        <w:t>经营主体</w:t>
      </w:r>
      <w:r>
        <w:rPr>
          <w:rFonts w:hint="default" w:ascii="Times New Roman" w:hAnsi="Times New Roman" w:cs="Times New Roman"/>
          <w:szCs w:val="30"/>
          <w:highlight w:val="none"/>
        </w:rPr>
        <w:t>通过交易平台申报买卖交易标的的数量、价格等挂牌信息，其他</w:t>
      </w:r>
      <w:r>
        <w:rPr>
          <w:rFonts w:hint="eastAsia" w:cs="Times New Roman"/>
          <w:szCs w:val="30"/>
          <w:highlight w:val="none"/>
          <w:lang w:eastAsia="zh-CN"/>
        </w:rPr>
        <w:t>经营主体</w:t>
      </w:r>
      <w:r>
        <w:rPr>
          <w:rFonts w:hint="default" w:ascii="Times New Roman" w:hAnsi="Times New Roman" w:cs="Times New Roman"/>
          <w:szCs w:val="30"/>
          <w:highlight w:val="none"/>
        </w:rPr>
        <w:t>摘牌确认成交，形成成交价格或价格机制。</w:t>
      </w:r>
    </w:p>
    <w:p>
      <w:pPr>
        <w:widowControl/>
        <w:numPr>
          <w:ilvl w:val="0"/>
          <w:numId w:val="13"/>
        </w:numPr>
        <w:tabs>
          <w:tab w:val="left" w:pos="604"/>
          <w:tab w:val="left" w:pos="1429"/>
        </w:tabs>
        <w:overflowPunct w:val="0"/>
        <w:snapToGrid w:val="0"/>
        <w:spacing w:line="560" w:lineRule="exact"/>
        <w:ind w:firstLineChars="0"/>
        <w:jc w:val="left"/>
        <w:rPr>
          <w:rFonts w:hint="default" w:ascii="Times New Roman" w:hAnsi="Times New Roman" w:cs="Times New Roman"/>
          <w:szCs w:val="30"/>
          <w:highlight w:val="none"/>
        </w:rPr>
      </w:pPr>
      <w:r>
        <w:rPr>
          <w:rFonts w:hint="default" w:ascii="Times New Roman" w:hAnsi="Times New Roman" w:cs="Times New Roman"/>
          <w:szCs w:val="30"/>
          <w:highlight w:val="none"/>
        </w:rPr>
        <w:t>竞价交易是指</w:t>
      </w:r>
      <w:r>
        <w:rPr>
          <w:rFonts w:hint="eastAsia" w:cs="Times New Roman"/>
          <w:szCs w:val="30"/>
          <w:highlight w:val="none"/>
          <w:lang w:eastAsia="zh-CN"/>
        </w:rPr>
        <w:t>经营主体</w:t>
      </w:r>
      <w:r>
        <w:rPr>
          <w:rFonts w:hint="default" w:ascii="Times New Roman" w:hAnsi="Times New Roman" w:cs="Times New Roman"/>
          <w:szCs w:val="30"/>
          <w:highlight w:val="none"/>
        </w:rPr>
        <w:t>通过交易平台申报交易标的数量、价格等信息，按照边际出清、撮合出清等规则进行出清，形成成交价格。</w:t>
      </w:r>
    </w:p>
    <w:p>
      <w:pPr>
        <w:widowControl/>
        <w:numPr>
          <w:ilvl w:val="0"/>
          <w:numId w:val="13"/>
        </w:numPr>
        <w:tabs>
          <w:tab w:val="left" w:pos="604"/>
          <w:tab w:val="left" w:pos="1429"/>
        </w:tabs>
        <w:overflowPunct w:val="0"/>
        <w:snapToGrid w:val="0"/>
        <w:spacing w:line="560" w:lineRule="exact"/>
        <w:ind w:firstLineChars="0"/>
        <w:jc w:val="left"/>
        <w:rPr>
          <w:rFonts w:hint="default" w:ascii="Times New Roman" w:hAnsi="Times New Roman" w:cs="Times New Roman"/>
          <w:highlight w:val="none"/>
        </w:rPr>
      </w:pPr>
      <w:r>
        <w:rPr>
          <w:rFonts w:hint="default" w:ascii="Times New Roman" w:hAnsi="Times New Roman" w:cs="Times New Roman"/>
          <w:szCs w:val="30"/>
          <w:highlight w:val="none"/>
        </w:rPr>
        <w:t>预招标交易是指为保障清洁能源消纳或电力有序供应临时需要，由</w:t>
      </w:r>
      <w:r>
        <w:rPr>
          <w:rFonts w:hint="eastAsia" w:cs="Times New Roman"/>
          <w:szCs w:val="30"/>
          <w:highlight w:val="none"/>
          <w:lang w:eastAsia="zh-CN"/>
        </w:rPr>
        <w:t>经营主体</w:t>
      </w:r>
      <w:r>
        <w:rPr>
          <w:rFonts w:hint="default" w:ascii="Times New Roman" w:hAnsi="Times New Roman" w:cs="Times New Roman"/>
          <w:szCs w:val="30"/>
          <w:highlight w:val="none"/>
        </w:rPr>
        <w:t>提前</w:t>
      </w:r>
      <w:r>
        <w:rPr>
          <w:rFonts w:hint="eastAsia" w:cs="Times New Roman"/>
          <w:szCs w:val="30"/>
          <w:highlight w:val="none"/>
          <w:lang w:val="en-US" w:eastAsia="zh-CN"/>
        </w:rPr>
        <w:t>确定预招标</w:t>
      </w:r>
      <w:r>
        <w:rPr>
          <w:rFonts w:hint="default" w:ascii="Times New Roman" w:hAnsi="Times New Roman" w:cs="Times New Roman"/>
          <w:szCs w:val="30"/>
          <w:highlight w:val="none"/>
        </w:rPr>
        <w:t>价格，由调度机构根据实际增送需要调用并做好</w:t>
      </w:r>
      <w:r>
        <w:rPr>
          <w:rFonts w:hint="eastAsia" w:cs="Times New Roman"/>
          <w:szCs w:val="30"/>
          <w:highlight w:val="none"/>
          <w:lang w:eastAsia="zh-CN"/>
        </w:rPr>
        <w:t>电量曲线</w:t>
      </w:r>
      <w:r>
        <w:rPr>
          <w:rFonts w:hint="default" w:ascii="Times New Roman" w:hAnsi="Times New Roman" w:cs="Times New Roman"/>
          <w:szCs w:val="30"/>
          <w:highlight w:val="none"/>
        </w:rPr>
        <w:t>记录</w:t>
      </w:r>
      <w:r>
        <w:rPr>
          <w:rFonts w:hint="eastAsia" w:cs="Times New Roman"/>
          <w:szCs w:val="30"/>
          <w:highlight w:val="none"/>
          <w:lang w:eastAsia="zh-CN"/>
        </w:rPr>
        <w:t>的交易</w:t>
      </w:r>
      <w:r>
        <w:rPr>
          <w:rFonts w:hint="default" w:ascii="Times New Roman" w:hAnsi="Times New Roman" w:cs="Times New Roman"/>
          <w:szCs w:val="30"/>
          <w:highlight w:val="none"/>
        </w:rPr>
        <w:t>。</w:t>
      </w:r>
      <w:r>
        <w:rPr>
          <w:rFonts w:hint="eastAsia" w:cs="Times New Roman"/>
          <w:szCs w:val="30"/>
          <w:highlight w:val="none"/>
          <w:lang w:eastAsia="zh-CN"/>
        </w:rPr>
        <w:t>预招标交易可采用双边协商方式，也可由</w:t>
      </w:r>
      <w:r>
        <w:rPr>
          <w:rFonts w:hint="eastAsia" w:cs="Times New Roman"/>
          <w:szCs w:val="30"/>
          <w:highlight w:val="none"/>
          <w:lang w:val="en-US" w:eastAsia="zh-CN"/>
        </w:rPr>
        <w:t>购电方</w:t>
      </w:r>
      <w:r>
        <w:rPr>
          <w:rFonts w:hint="default" w:ascii="Times New Roman" w:hAnsi="Times New Roman" w:cs="Times New Roman"/>
          <w:szCs w:val="30"/>
          <w:highlight w:val="none"/>
        </w:rPr>
        <w:t>采用“报价不报量”方式</w:t>
      </w:r>
      <w:r>
        <w:rPr>
          <w:rFonts w:hint="eastAsia" w:cs="Times New Roman"/>
          <w:szCs w:val="30"/>
          <w:highlight w:val="none"/>
          <w:lang w:val="en-US" w:eastAsia="zh-CN"/>
        </w:rPr>
        <w:t>申报价格上限</w:t>
      </w:r>
      <w:r>
        <w:rPr>
          <w:rFonts w:hint="default" w:ascii="Times New Roman" w:hAnsi="Times New Roman" w:cs="Times New Roman"/>
          <w:szCs w:val="30"/>
          <w:highlight w:val="none"/>
        </w:rPr>
        <w:t>，具有富余发电能力的发电企业或电网企业</w:t>
      </w:r>
      <w:r>
        <w:rPr>
          <w:rFonts w:hint="eastAsia" w:cs="Times New Roman"/>
          <w:szCs w:val="30"/>
          <w:highlight w:val="none"/>
          <w:lang w:eastAsia="zh-CN"/>
        </w:rPr>
        <w:t>申报预招标价格的方式</w:t>
      </w:r>
      <w:r>
        <w:rPr>
          <w:rFonts w:hint="default" w:ascii="Times New Roman" w:hAnsi="Times New Roman" w:cs="Times New Roman"/>
          <w:szCs w:val="30"/>
          <w:highlight w:val="none"/>
        </w:rPr>
        <w:t>。月度交易结束后，</w:t>
      </w:r>
      <w:r>
        <w:rPr>
          <w:rFonts w:hint="eastAsia" w:cs="Times New Roman"/>
          <w:szCs w:val="30"/>
          <w:highlight w:val="none"/>
          <w:lang w:eastAsia="zh-CN"/>
        </w:rPr>
        <w:t>广州电力交易中心</w:t>
      </w:r>
      <w:r>
        <w:rPr>
          <w:rFonts w:hint="default" w:ascii="Times New Roman" w:hAnsi="Times New Roman" w:cs="Times New Roman"/>
          <w:szCs w:val="30"/>
          <w:highlight w:val="none"/>
        </w:rPr>
        <w:t>根据保障清洁能源消纳或电力供应</w:t>
      </w:r>
      <w:r>
        <w:rPr>
          <w:rFonts w:hint="eastAsia" w:cs="Times New Roman"/>
          <w:szCs w:val="30"/>
          <w:highlight w:val="none"/>
          <w:lang w:eastAsia="zh-CN"/>
        </w:rPr>
        <w:t>实际需求</w:t>
      </w:r>
      <w:r>
        <w:rPr>
          <w:rFonts w:hint="default" w:ascii="Times New Roman" w:hAnsi="Times New Roman" w:cs="Times New Roman"/>
          <w:szCs w:val="30"/>
          <w:highlight w:val="none"/>
        </w:rPr>
        <w:t>，</w:t>
      </w:r>
      <w:r>
        <w:rPr>
          <w:rFonts w:hint="eastAsia" w:cs="Times New Roman"/>
          <w:szCs w:val="30"/>
          <w:highlight w:val="none"/>
          <w:lang w:eastAsia="zh-CN"/>
        </w:rPr>
        <w:t>组织预招标交易</w:t>
      </w:r>
      <w:r>
        <w:rPr>
          <w:rFonts w:hint="default" w:ascii="Times New Roman" w:hAnsi="Times New Roman" w:cs="Times New Roman"/>
          <w:szCs w:val="30"/>
          <w:highlight w:val="none"/>
        </w:rPr>
        <w:t>。广州电力交易中心按照</w:t>
      </w:r>
      <w:r>
        <w:rPr>
          <w:rFonts w:hint="eastAsia" w:cs="Times New Roman"/>
          <w:szCs w:val="30"/>
          <w:highlight w:val="none"/>
          <w:lang w:eastAsia="zh-CN"/>
        </w:rPr>
        <w:t>双边协商价格或经营主体</w:t>
      </w:r>
      <w:r>
        <w:rPr>
          <w:rFonts w:hint="default" w:ascii="Times New Roman" w:hAnsi="Times New Roman" w:cs="Times New Roman"/>
          <w:szCs w:val="30"/>
          <w:highlight w:val="none"/>
        </w:rPr>
        <w:t>形成排序列表，由调度机构根据实际增送需要调用并做好</w:t>
      </w:r>
      <w:r>
        <w:rPr>
          <w:rFonts w:hint="eastAsia" w:cs="Times New Roman"/>
          <w:szCs w:val="30"/>
          <w:highlight w:val="none"/>
          <w:lang w:eastAsia="zh-CN"/>
        </w:rPr>
        <w:t>电量曲线</w:t>
      </w:r>
      <w:r>
        <w:rPr>
          <w:rFonts w:hint="default" w:ascii="Times New Roman" w:hAnsi="Times New Roman" w:cs="Times New Roman"/>
          <w:szCs w:val="30"/>
          <w:highlight w:val="none"/>
        </w:rPr>
        <w:t>记录。</w:t>
      </w:r>
      <w:r>
        <w:rPr>
          <w:rFonts w:hint="eastAsia" w:cs="Times New Roman"/>
          <w:szCs w:val="30"/>
          <w:highlight w:val="none"/>
          <w:lang w:val="en-US" w:eastAsia="zh-CN"/>
        </w:rPr>
        <w:t>经营主体</w:t>
      </w:r>
      <w:r>
        <w:rPr>
          <w:rFonts w:hint="default" w:ascii="Times New Roman" w:hAnsi="Times New Roman" w:cs="Times New Roman"/>
          <w:szCs w:val="30"/>
          <w:highlight w:val="none"/>
        </w:rPr>
        <w:t>的预招标电量根据电力调度机构的实际调用量</w:t>
      </w:r>
      <w:r>
        <w:rPr>
          <w:rFonts w:hint="eastAsia" w:cs="Times New Roman"/>
          <w:szCs w:val="30"/>
          <w:highlight w:val="none"/>
          <w:lang w:val="en-US" w:eastAsia="zh-CN"/>
        </w:rPr>
        <w:t>和经营主体报价</w:t>
      </w:r>
      <w:r>
        <w:rPr>
          <w:rFonts w:hint="default" w:ascii="Times New Roman" w:hAnsi="Times New Roman" w:cs="Times New Roman"/>
          <w:szCs w:val="30"/>
          <w:highlight w:val="none"/>
        </w:rPr>
        <w:t>进行结算。</w:t>
      </w:r>
    </w:p>
    <w:p>
      <w:pPr>
        <w:widowControl/>
        <w:numPr>
          <w:ilvl w:val="0"/>
          <w:numId w:val="13"/>
        </w:numPr>
        <w:tabs>
          <w:tab w:val="left" w:pos="604"/>
          <w:tab w:val="left" w:pos="1429"/>
        </w:tabs>
        <w:overflowPunct w:val="0"/>
        <w:snapToGrid w:val="0"/>
        <w:spacing w:line="560" w:lineRule="exact"/>
        <w:ind w:firstLineChars="0"/>
        <w:jc w:val="left"/>
        <w:rPr>
          <w:rFonts w:hint="default"/>
          <w:szCs w:val="30"/>
          <w:highlight w:val="none"/>
        </w:rPr>
      </w:pPr>
      <w:r>
        <w:rPr>
          <w:rFonts w:hint="default" w:ascii="Times New Roman" w:hAnsi="Times New Roman" w:eastAsia="仿宋_GB2312" w:cs="Times New Roman"/>
          <w:sz w:val="30"/>
          <w:szCs w:val="30"/>
          <w:highlight w:val="none"/>
          <w:lang w:val="en-US" w:eastAsia="zh-CN"/>
        </w:rPr>
        <w:t>经营主体在交易组织过程中，优先采用绝对价格申报。确需采用价格机制的，</w:t>
      </w:r>
      <w:r>
        <w:rPr>
          <w:rFonts w:ascii="Times New Roman" w:hAnsi="Times New Roman" w:eastAsia="仿宋_GB2312" w:cs="Times New Roman"/>
          <w:sz w:val="30"/>
          <w:szCs w:val="30"/>
          <w:highlight w:val="none"/>
        </w:rPr>
        <w:t>在开展结算前</w:t>
      </w:r>
      <w:r>
        <w:rPr>
          <w:rFonts w:hint="default" w:ascii="Times New Roman" w:hAnsi="Times New Roman" w:eastAsia="仿宋_GB2312" w:cs="Times New Roman"/>
          <w:sz w:val="30"/>
          <w:szCs w:val="30"/>
          <w:highlight w:val="none"/>
          <w:lang w:eastAsia="zh-CN"/>
        </w:rPr>
        <w:t>，</w:t>
      </w:r>
      <w:r>
        <w:rPr>
          <w:rFonts w:ascii="Times New Roman" w:hAnsi="Times New Roman" w:eastAsia="仿宋_GB2312" w:cs="Times New Roman"/>
          <w:sz w:val="30"/>
          <w:szCs w:val="30"/>
          <w:highlight w:val="none"/>
        </w:rPr>
        <w:t>由</w:t>
      </w:r>
      <w:r>
        <w:rPr>
          <w:rFonts w:hint="default" w:ascii="Times New Roman" w:hAnsi="Times New Roman" w:eastAsia="仿宋_GB2312" w:cs="Times New Roman"/>
          <w:sz w:val="30"/>
          <w:szCs w:val="30"/>
          <w:highlight w:val="none"/>
          <w:lang w:val="en-US" w:eastAsia="zh-CN"/>
        </w:rPr>
        <w:t>广州电力交易中心根据相关方提供的价格参数将价格机制转化为</w:t>
      </w:r>
      <w:r>
        <w:rPr>
          <w:rFonts w:ascii="Times New Roman" w:hAnsi="Times New Roman" w:eastAsia="仿宋_GB2312" w:cs="Times New Roman"/>
          <w:sz w:val="30"/>
          <w:szCs w:val="30"/>
          <w:highlight w:val="none"/>
        </w:rPr>
        <w:t>绝对价格</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若相关方未及时提供价格参数或</w:t>
      </w:r>
      <w:r>
        <w:rPr>
          <w:rFonts w:ascii="Times New Roman" w:hAnsi="Times New Roman" w:eastAsia="仿宋_GB2312" w:cs="Times New Roman"/>
          <w:sz w:val="30"/>
          <w:szCs w:val="30"/>
          <w:highlight w:val="none"/>
        </w:rPr>
        <w:t>无法根据价格机制</w:t>
      </w:r>
      <w:r>
        <w:rPr>
          <w:rFonts w:hint="default" w:ascii="Times New Roman" w:hAnsi="Times New Roman" w:eastAsia="仿宋_GB2312" w:cs="Times New Roman"/>
          <w:sz w:val="30"/>
          <w:szCs w:val="30"/>
          <w:highlight w:val="none"/>
          <w:lang w:val="en-US" w:eastAsia="zh-CN"/>
        </w:rPr>
        <w:t>及时</w:t>
      </w:r>
      <w:r>
        <w:rPr>
          <w:rFonts w:ascii="Times New Roman" w:hAnsi="Times New Roman" w:eastAsia="仿宋_GB2312" w:cs="Times New Roman"/>
          <w:sz w:val="30"/>
          <w:szCs w:val="30"/>
          <w:highlight w:val="none"/>
        </w:rPr>
        <w:t>计算形成绝对价格</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则</w:t>
      </w:r>
      <w:r>
        <w:rPr>
          <w:rFonts w:ascii="Times New Roman" w:hAnsi="Times New Roman" w:eastAsia="仿宋_GB2312" w:cs="Times New Roman"/>
          <w:sz w:val="30"/>
          <w:szCs w:val="30"/>
          <w:highlight w:val="none"/>
        </w:rPr>
        <w:t>按照双方最近一笔该电量类型交易合约的</w:t>
      </w:r>
      <w:r>
        <w:rPr>
          <w:rFonts w:hint="default" w:ascii="Times New Roman" w:hAnsi="Times New Roman" w:eastAsia="仿宋_GB2312" w:cs="Times New Roman"/>
          <w:sz w:val="30"/>
          <w:szCs w:val="30"/>
          <w:highlight w:val="none"/>
          <w:lang w:val="en-US" w:eastAsia="zh-CN"/>
        </w:rPr>
        <w:t>结算</w:t>
      </w:r>
      <w:r>
        <w:rPr>
          <w:rFonts w:ascii="Times New Roman" w:hAnsi="Times New Roman" w:eastAsia="仿宋_GB2312" w:cs="Times New Roman"/>
          <w:sz w:val="30"/>
          <w:szCs w:val="30"/>
          <w:highlight w:val="none"/>
        </w:rPr>
        <w:t>价格开展暂结（如最近的双边交易合约有多笔的，则按照加权平均价格计算），事后清算</w:t>
      </w:r>
      <w:r>
        <w:rPr>
          <w:rFonts w:hint="default" w:ascii="Times New Roman" w:hAnsi="Times New Roman" w:eastAsia="仿宋_GB2312" w:cs="Times New Roman"/>
          <w:sz w:val="30"/>
          <w:szCs w:val="30"/>
          <w:highlight w:val="none"/>
          <w:lang w:eastAsia="zh-CN"/>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发电侧成交价格包括脱硫、脱硝、除尘和超低排放电价等价格，按照国家有关规定执行。燃煤发电市场交易价格</w:t>
      </w:r>
      <w:r>
        <w:rPr>
          <w:rFonts w:hint="default" w:ascii="Times New Roman" w:hAnsi="Times New Roman" w:cs="Times New Roman"/>
          <w:szCs w:val="30"/>
          <w:highlight w:val="none"/>
          <w:lang w:val="en-US" w:eastAsia="zh-CN"/>
        </w:rPr>
        <w:t>执行“基准价+上下浮动”价格机制，上下</w:t>
      </w:r>
      <w:r>
        <w:rPr>
          <w:rFonts w:hint="default" w:ascii="Times New Roman" w:hAnsi="Times New Roman" w:cs="Times New Roman"/>
          <w:szCs w:val="30"/>
          <w:highlight w:val="none"/>
        </w:rPr>
        <w:t>浮动范围原则上均不超过20%，高耗能企业参与市场交易电价不受上浮20%限制。</w:t>
      </w:r>
    </w:p>
    <w:p>
      <w:pPr>
        <w:numPr>
          <w:ilvl w:val="0"/>
          <w:numId w:val="1"/>
        </w:numPr>
        <w:overflowPunct w:val="0"/>
        <w:snapToGrid w:val="0"/>
        <w:spacing w:line="560" w:lineRule="exact"/>
        <w:ind w:firstLineChars="0"/>
        <w:rPr>
          <w:rFonts w:hint="default"/>
          <w:color w:val="000000"/>
          <w:szCs w:val="30"/>
          <w:highlight w:val="none"/>
        </w:rPr>
      </w:pPr>
      <w:r>
        <w:rPr>
          <w:rFonts w:hint="default" w:cs="Times New Roman"/>
          <w:color w:val="000000"/>
          <w:szCs w:val="30"/>
          <w:highlight w:val="none"/>
          <w:lang w:val="en-US" w:eastAsia="zh-CN"/>
        </w:rPr>
        <w:t>送端</w:t>
      </w:r>
      <w:r>
        <w:rPr>
          <w:rFonts w:hint="eastAsia" w:cs="Times New Roman"/>
          <w:color w:val="000000"/>
          <w:szCs w:val="30"/>
          <w:highlight w:val="none"/>
          <w:lang w:val="en-US" w:eastAsia="zh-CN"/>
        </w:rPr>
        <w:t>、受</w:t>
      </w:r>
      <w:r>
        <w:rPr>
          <w:rFonts w:hint="default" w:cs="Times New Roman"/>
          <w:color w:val="000000"/>
          <w:szCs w:val="30"/>
          <w:highlight w:val="none"/>
          <w:lang w:val="en-US" w:eastAsia="zh-CN"/>
        </w:rPr>
        <w:t>端相关发电企业应按照</w:t>
      </w:r>
      <w:r>
        <w:rPr>
          <w:rFonts w:hint="eastAsia" w:cs="Times New Roman"/>
          <w:color w:val="000000"/>
          <w:szCs w:val="30"/>
          <w:highlight w:val="none"/>
          <w:lang w:val="en-US" w:eastAsia="zh-CN"/>
        </w:rPr>
        <w:t>相关规定</w:t>
      </w:r>
      <w:r>
        <w:rPr>
          <w:rFonts w:hint="default" w:cs="Times New Roman"/>
          <w:color w:val="000000"/>
          <w:szCs w:val="30"/>
          <w:highlight w:val="none"/>
          <w:lang w:val="en-US" w:eastAsia="zh-CN"/>
        </w:rPr>
        <w:t>要求公平承担辅助服务费用</w:t>
      </w:r>
      <w:r>
        <w:rPr>
          <w:rFonts w:hint="default" w:ascii="Times New Roman" w:hAnsi="Times New Roman" w:cs="Times New Roman"/>
          <w:color w:val="000000"/>
          <w:szCs w:val="30"/>
          <w:highlight w:val="none"/>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受电省区电能量交易落地价格由发电侧（送电侧）成交价格、跨区跨省输电价格（含送出省区输电价格</w:t>
      </w:r>
      <w:r>
        <w:rPr>
          <w:rFonts w:hint="eastAsia" w:cs="Times New Roman"/>
          <w:szCs w:val="30"/>
          <w:highlight w:val="none"/>
          <w:lang w:val="en-US" w:eastAsia="zh-CN"/>
        </w:rPr>
        <w:t>或</w:t>
      </w:r>
      <w:r>
        <w:rPr>
          <w:rFonts w:hint="default" w:ascii="Times New Roman" w:hAnsi="Times New Roman" w:cs="Times New Roman"/>
          <w:szCs w:val="30"/>
          <w:highlight w:val="none"/>
        </w:rPr>
        <w:t>配套工程输电价格）、输电损耗</w:t>
      </w:r>
      <w:r>
        <w:rPr>
          <w:rFonts w:hint="eastAsia" w:cs="Times New Roman"/>
          <w:szCs w:val="30"/>
          <w:highlight w:val="none"/>
          <w:lang w:eastAsia="zh-CN"/>
        </w:rPr>
        <w:t>及国家有权部门明确的其他价格</w:t>
      </w:r>
      <w:r>
        <w:rPr>
          <w:rFonts w:hint="default" w:ascii="Times New Roman" w:hAnsi="Times New Roman" w:cs="Times New Roman"/>
          <w:szCs w:val="30"/>
          <w:highlight w:val="none"/>
        </w:rPr>
        <w:t>构成。输电损耗在输电价格中已明确包含的，不再单独收取。未明确的，暂按该输电通道前三年输电损耗的平均值计算，</w:t>
      </w:r>
      <w:r>
        <w:rPr>
          <w:rFonts w:hint="eastAsia" w:cs="Times New Roman"/>
          <w:szCs w:val="30"/>
          <w:highlight w:val="none"/>
          <w:lang w:eastAsia="zh-CN"/>
        </w:rPr>
        <w:t>并</w:t>
      </w:r>
      <w:r>
        <w:rPr>
          <w:rFonts w:hint="default" w:ascii="Times New Roman" w:hAnsi="Times New Roman" w:cs="Times New Roman"/>
          <w:szCs w:val="30"/>
          <w:highlight w:val="none"/>
        </w:rPr>
        <w:t>报</w:t>
      </w:r>
      <w:r>
        <w:rPr>
          <w:rFonts w:hint="eastAsia" w:cs="Times New Roman"/>
          <w:szCs w:val="30"/>
          <w:highlight w:val="none"/>
          <w:lang w:eastAsia="zh-CN"/>
        </w:rPr>
        <w:t>国家发展改革委、</w:t>
      </w:r>
      <w:r>
        <w:rPr>
          <w:rFonts w:hint="default" w:ascii="Times New Roman" w:hAnsi="Times New Roman" w:cs="Times New Roman"/>
          <w:szCs w:val="30"/>
          <w:highlight w:val="none"/>
        </w:rPr>
        <w:t>国家能源局。输电损耗原则上由买方承担，也可由</w:t>
      </w:r>
      <w:r>
        <w:rPr>
          <w:rFonts w:hint="eastAsia" w:cs="Times New Roman"/>
          <w:szCs w:val="30"/>
          <w:highlight w:val="none"/>
          <w:lang w:eastAsia="zh-CN"/>
        </w:rPr>
        <w:t>经营主体</w:t>
      </w:r>
      <w:r>
        <w:rPr>
          <w:rFonts w:hint="default" w:ascii="Times New Roman" w:hAnsi="Times New Roman" w:cs="Times New Roman"/>
          <w:szCs w:val="30"/>
          <w:highlight w:val="none"/>
        </w:rPr>
        <w:t>协商确定承担方式。</w:t>
      </w:r>
      <w:r>
        <w:rPr>
          <w:rFonts w:hint="default" w:ascii="Times New Roman" w:hAnsi="Times New Roman" w:cs="Times New Roman"/>
          <w:szCs w:val="30"/>
          <w:highlight w:val="none"/>
          <w:lang w:val="en-US" w:eastAsia="zh-CN"/>
        </w:rPr>
        <w:t>受电省区电力用户(售电公司)还需缴纳本省输配电价、线损费、系统运行费、政府性基金及附加</w:t>
      </w:r>
      <w:r>
        <w:rPr>
          <w:rFonts w:hint="default" w:ascii="Times New Roman" w:hAnsi="Times New Roman" w:cs="Times New Roman"/>
          <w:szCs w:val="30"/>
          <w:highlight w:val="none"/>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跨区跨省</w:t>
      </w:r>
      <w:r>
        <w:rPr>
          <w:rFonts w:hint="default" w:ascii="Times New Roman" w:hAnsi="Times New Roman" w:cs="Times New Roman"/>
          <w:szCs w:val="30"/>
          <w:highlight w:val="none"/>
        </w:rPr>
        <w:t>输电价格、</w:t>
      </w:r>
      <w:r>
        <w:rPr>
          <w:rFonts w:hint="default" w:ascii="Times New Roman" w:hAnsi="Times New Roman" w:cs="Times New Roman"/>
          <w:szCs w:val="30"/>
          <w:highlight w:val="none"/>
          <w:lang w:val="en-US" w:eastAsia="zh-CN"/>
        </w:rPr>
        <w:t>省级电网</w:t>
      </w:r>
      <w:r>
        <w:rPr>
          <w:rFonts w:hint="default" w:ascii="Times New Roman" w:hAnsi="Times New Roman" w:cs="Times New Roman"/>
          <w:szCs w:val="30"/>
          <w:highlight w:val="none"/>
        </w:rPr>
        <w:t>输配电价格、政府性基金及附加按照国家有关规定执行。</w:t>
      </w:r>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default" w:ascii="Times New Roman" w:hAnsi="Times New Roman" w:cs="Times New Roman"/>
          <w:highlight w:val="none"/>
        </w:rPr>
        <w:t>执行峰谷电价的电力用户，在参加电力交易后，省内交易电量曲线应继续执行峰谷电价，具体以所在省区市场规则为准。</w:t>
      </w:r>
    </w:p>
    <w:p>
      <w:pPr>
        <w:numPr>
          <w:ilvl w:val="0"/>
          <w:numId w:val="1"/>
        </w:numPr>
        <w:overflowPunct w:val="0"/>
        <w:snapToGrid w:val="0"/>
        <w:spacing w:line="560" w:lineRule="exact"/>
        <w:ind w:firstLine="643" w:firstLineChars="0"/>
        <w:rPr>
          <w:rFonts w:hint="default" w:ascii="Times New Roman" w:hAnsi="Times New Roman" w:cs="Times New Roman"/>
          <w:highlight w:val="none"/>
        </w:rPr>
      </w:pPr>
      <w:r>
        <w:rPr>
          <w:rFonts w:hint="default" w:ascii="Times New Roman" w:hAnsi="Times New Roman" w:cs="Times New Roman"/>
          <w:highlight w:val="none"/>
        </w:rPr>
        <w:t>抽水蓄能电站电价机制按照国家有关规定执行。</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29" w:name="_Toc22946"/>
      <w:bookmarkStart w:id="30" w:name="_Toc88663434"/>
      <w:bookmarkStart w:id="31" w:name="_Toc505691908"/>
      <w:bookmarkStart w:id="32" w:name="_Toc3753"/>
      <w:bookmarkStart w:id="33" w:name="_Toc503381429"/>
      <w:bookmarkStart w:id="34" w:name="_Toc521936267"/>
      <w:r>
        <w:rPr>
          <w:rFonts w:hint="default" w:ascii="Times New Roman" w:hAnsi="Times New Roman" w:eastAsia="黑体" w:cs="Times New Roman"/>
          <w:bCs w:val="0"/>
          <w:kern w:val="2"/>
          <w:sz w:val="30"/>
          <w:szCs w:val="30"/>
          <w:highlight w:val="none"/>
        </w:rPr>
        <w:t>交易组织</w:t>
      </w:r>
      <w:bookmarkEnd w:id="29"/>
      <w:bookmarkEnd w:id="30"/>
      <w:bookmarkEnd w:id="31"/>
      <w:bookmarkEnd w:id="32"/>
      <w:bookmarkEnd w:id="33"/>
      <w:bookmarkEnd w:id="34"/>
    </w:p>
    <w:p>
      <w:pPr>
        <w:numPr>
          <w:ilvl w:val="0"/>
          <w:numId w:val="0"/>
        </w:numPr>
        <w:overflowPunct w:val="0"/>
        <w:snapToGrid w:val="0"/>
        <w:spacing w:line="560" w:lineRule="exact"/>
        <w:jc w:val="center"/>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第一节 总体原则</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南方区域跨区跨省电力交易应坚持优先保障电力有序供应、优先保障清洁能源消纳、优先保障西电东送战略的基本原则。首先通过市场交易落实</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，形成交易计划。</w:t>
      </w:r>
      <w:r>
        <w:rPr>
          <w:rFonts w:hint="eastAsia" w:cs="Times New Roman"/>
          <w:szCs w:val="30"/>
          <w:highlight w:val="none"/>
          <w:lang w:eastAsia="zh-CN"/>
        </w:rPr>
        <w:t>考虑各市场交易边界，</w:t>
      </w:r>
      <w:r>
        <w:rPr>
          <w:rFonts w:hint="default" w:ascii="Times New Roman" w:hAnsi="Times New Roman" w:cs="Times New Roman"/>
          <w:szCs w:val="30"/>
          <w:highlight w:val="none"/>
        </w:rPr>
        <w:t>依次开展年度、季度、月度、月内、周交易，</w:t>
      </w:r>
      <w:r>
        <w:rPr>
          <w:rFonts w:hint="default" w:ascii="Times New Roman" w:hAnsi="Times New Roman" w:cs="Times New Roman"/>
          <w:szCs w:val="30"/>
          <w:highlight w:val="none"/>
          <w:lang w:val="en-US" w:eastAsia="zh-CN"/>
        </w:rPr>
        <w:t>结合电力市场建设进展及需求开展多日交易，</w:t>
      </w:r>
      <w:r>
        <w:rPr>
          <w:rFonts w:hint="default" w:ascii="Times New Roman" w:hAnsi="Times New Roman" w:cs="Times New Roman"/>
          <w:szCs w:val="30"/>
          <w:highlight w:val="none"/>
        </w:rPr>
        <w:t>实现跨区跨省中长期交易连续开市，逐步实现省间市场交易与送（受）端省份中长期交易协同开展。</w:t>
      </w:r>
    </w:p>
    <w:p>
      <w:pPr>
        <w:numPr>
          <w:ilvl w:val="0"/>
          <w:numId w:val="0"/>
        </w:numPr>
        <w:overflowPunct w:val="0"/>
        <w:snapToGrid w:val="0"/>
        <w:spacing w:line="560" w:lineRule="exact"/>
        <w:ind w:left="0" w:firstLine="600"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在明确跨区跨省市场化交易规模并预留输电能力的前提下，也可以由相关交易机构分别组织送端、受端省内市场化交易和跨区跨省市场化交易，不区分先后次序。</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符合准入条件的发电企业可直接参与南方区域跨区跨省电力交易。符合准入条件的电力用户可根据需要直接参与或</w:t>
      </w:r>
      <w:r>
        <w:rPr>
          <w:rFonts w:hint="default" w:ascii="Times New Roman" w:hAnsi="Times New Roman" w:cs="Times New Roman"/>
          <w:szCs w:val="30"/>
          <w:highlight w:val="none"/>
          <w:lang w:eastAsia="zh-CN"/>
        </w:rPr>
        <w:t>由</w:t>
      </w:r>
      <w:r>
        <w:rPr>
          <w:rFonts w:hint="default" w:ascii="Times New Roman" w:hAnsi="Times New Roman" w:cs="Times New Roman"/>
          <w:szCs w:val="30"/>
          <w:highlight w:val="none"/>
        </w:rPr>
        <w:t>售电公司</w:t>
      </w:r>
      <w:r>
        <w:rPr>
          <w:rFonts w:hint="default" w:ascii="Times New Roman" w:hAnsi="Times New Roman" w:cs="Times New Roman"/>
          <w:szCs w:val="30"/>
          <w:highlight w:val="none"/>
          <w:lang w:eastAsia="zh-CN"/>
        </w:rPr>
        <w:t>代理</w:t>
      </w:r>
      <w:r>
        <w:rPr>
          <w:rFonts w:hint="default" w:ascii="Times New Roman" w:hAnsi="Times New Roman" w:cs="Times New Roman"/>
          <w:szCs w:val="30"/>
          <w:highlight w:val="none"/>
        </w:rPr>
        <w:t>参与南方区域跨区跨省电力交易，并应与其参与省内</w:t>
      </w:r>
      <w:r>
        <w:rPr>
          <w:rFonts w:hint="default" w:ascii="Times New Roman" w:hAnsi="Times New Roman" w:cs="Times New Roman"/>
          <w:szCs w:val="30"/>
          <w:highlight w:val="none"/>
          <w:lang w:val="en-US" w:eastAsia="zh-CN"/>
        </w:rPr>
        <w:t>中长期</w:t>
      </w:r>
      <w:r>
        <w:rPr>
          <w:rFonts w:hint="default" w:ascii="Times New Roman" w:hAnsi="Times New Roman" w:cs="Times New Roman"/>
          <w:szCs w:val="30"/>
          <w:highlight w:val="none"/>
        </w:rPr>
        <w:t>交易方式保持一致。电网企业可参与以预招标方式开展的交易</w:t>
      </w:r>
      <w:r>
        <w:rPr>
          <w:rFonts w:hint="default" w:ascii="Times New Roman" w:hAnsi="Times New Roman" w:cs="Times New Roman"/>
          <w:szCs w:val="30"/>
          <w:highlight w:val="none"/>
          <w:lang w:eastAsia="zh-CN"/>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eastAsia" w:cs="Times New Roman"/>
          <w:szCs w:val="30"/>
          <w:highlight w:val="none"/>
          <w:lang w:eastAsia="zh-CN"/>
        </w:rPr>
        <w:t>经营主体</w:t>
      </w:r>
      <w:r>
        <w:rPr>
          <w:rFonts w:ascii="Times New Roman" w:hAnsi="Times New Roman" w:eastAsia="仿宋_GB2312" w:cs="Times New Roman"/>
          <w:sz w:val="30"/>
          <w:szCs w:val="30"/>
          <w:highlight w:val="none"/>
        </w:rPr>
        <w:t>同一</w:t>
      </w:r>
      <w:r>
        <w:rPr>
          <w:rFonts w:hint="eastAsia" w:cs="Times New Roman"/>
          <w:szCs w:val="30"/>
          <w:highlight w:val="none"/>
          <w:lang w:eastAsia="zh-CN"/>
        </w:rPr>
        <w:t>经营主体</w:t>
      </w:r>
      <w:r>
        <w:rPr>
          <w:rFonts w:ascii="Times New Roman" w:hAnsi="Times New Roman" w:eastAsia="仿宋_GB2312" w:cs="Times New Roman"/>
          <w:sz w:val="30"/>
          <w:szCs w:val="30"/>
          <w:highlight w:val="none"/>
        </w:rPr>
        <w:t>可根据生产消费需要，选择购入或售出电能量。在同一送电类别组织中，同一</w:t>
      </w:r>
      <w:r>
        <w:rPr>
          <w:rFonts w:hint="eastAsia" w:cs="Times New Roman"/>
          <w:szCs w:val="30"/>
          <w:highlight w:val="none"/>
          <w:lang w:eastAsia="zh-CN"/>
        </w:rPr>
        <w:t>经营主体</w:t>
      </w:r>
      <w:r>
        <w:rPr>
          <w:rFonts w:ascii="Times New Roman" w:hAnsi="Times New Roman" w:eastAsia="仿宋_GB2312" w:cs="Times New Roman"/>
          <w:sz w:val="30"/>
          <w:szCs w:val="30"/>
          <w:highlight w:val="none"/>
        </w:rPr>
        <w:t>不能在同一场次中同时以购电主体和售电主体参与相同标的时段内的交易，以首笔成交方向为准。</w:t>
      </w:r>
    </w:p>
    <w:p>
      <w:pPr>
        <w:numPr>
          <w:ilvl w:val="0"/>
          <w:numId w:val="0"/>
        </w:numPr>
        <w:overflowPunct w:val="0"/>
        <w:snapToGrid w:val="0"/>
        <w:spacing w:line="560" w:lineRule="exact"/>
        <w:ind w:firstLine="600"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一）发电企业应根据自身发电能力进行交易申报。电量交易时，除电网安全约束外，不得限制发电企业在自身发电能力范围内进行申报，同时申报电量不得超过其剩余最大发电能力。合同交易时，出让合同申报电量不得超过已成交合同电量的净值；受让合同电量与已成交合同电量净值的总和不得超过其最大发电能力。</w:t>
      </w:r>
    </w:p>
    <w:p>
      <w:pPr>
        <w:numPr>
          <w:ilvl w:val="0"/>
          <w:numId w:val="0"/>
        </w:numPr>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二）电力用户、售电公司应根据实际用电需求进行交易申报。电量交易时，申报电量不得超过实际剩余用电能力。合同交易时，出让合同申报电量不得超过已成交合同电量的净值；受让合同电量与已成交合同电量净值的总和不得超过实际用电能力。其中，电力用户的实际用电需求原则上根据报装容量或历史用电量考虑一定增长率后确定；售电公司的实际用电能力为其代理电力用户的实际用电能力之和。</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交易均需约定电力曲线或曲线分解原则。购售电主体也可参照用电侧历史用电曲线、清洁能源消纳预期、用电需求等，自行协商确定电力曲线或曲线分解原则。电力交易机构可提供典型曲线作为参考。在购售双方协商不一致情况下，电力交易机构可统筹双方意见确定电力曲线或曲线分解原则。交易机构同时为购售电主体提供计划曲线调整、计划曲线偏差滚动、合同执行进度查询等交易服务功能，建立动态分解、灵活调整的机制。</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南方区域跨区跨省电力中长期交易的基本流程包括交易准备、交易公告、交易申报、交易出清、安全校核、发布结果等环节。</w:t>
      </w:r>
    </w:p>
    <w:p>
      <w:pPr>
        <w:numPr>
          <w:ilvl w:val="0"/>
          <w:numId w:val="14"/>
        </w:numPr>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交易准备。广州电力交易中心根据国家指令性计划、省间政府框架协议、省间通道能力以及供需形势等，组织开展西电东送省间协商，做好交易相关准备。</w:t>
      </w:r>
    </w:p>
    <w:p>
      <w:pPr>
        <w:numPr>
          <w:ilvl w:val="0"/>
          <w:numId w:val="0"/>
        </w:numPr>
        <w:overflowPunct w:val="0"/>
        <w:snapToGrid w:val="0"/>
        <w:spacing w:line="560" w:lineRule="exact"/>
        <w:ind w:firstLine="600" w:firstLineChars="2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（二）交易公告。定期或连续开市的交易，应提前1个工作日发布交易公告，不定期开市的交易，应提前5个工作日发布交易公告。交易公告内容包括:交易品种名称、交易标的、参与</w:t>
      </w:r>
      <w:r>
        <w:rPr>
          <w:rFonts w:hint="eastAsia" w:cs="Times New Roman"/>
          <w:szCs w:val="30"/>
          <w:highlight w:val="none"/>
          <w:lang w:eastAsia="zh-CN"/>
        </w:rPr>
        <w:t>经营主体</w:t>
      </w:r>
      <w:r>
        <w:rPr>
          <w:rFonts w:hint="default" w:ascii="Times New Roman" w:hAnsi="Times New Roman" w:cs="Times New Roman"/>
          <w:szCs w:val="30"/>
          <w:highlight w:val="none"/>
        </w:rPr>
        <w:t>、申报起止时间、申报要求或交易限定条件、市场参数、交易关口、交易方式、价格形成机制、输电通道能力情况等。可根据现货结算需要明确结算交割点。</w:t>
      </w:r>
      <w:r>
        <w:rPr>
          <w:rFonts w:hint="default" w:ascii="Times New Roman" w:hAnsi="Times New Roman" w:cs="Times New Roman"/>
          <w:szCs w:val="30"/>
          <w:highlight w:val="none"/>
          <w:lang w:val="en-US" w:eastAsia="zh-CN"/>
        </w:rPr>
        <w:t>根据交易品种不同，可选择发电企业上网计量关口或送(受)省区电网企业与超高压公司之间的计量关口作为交易关口，以明确合同履约的交割要求，具体以</w:t>
      </w:r>
      <w:r>
        <w:rPr>
          <w:rFonts w:hint="eastAsia" w:cs="Times New Roman"/>
          <w:szCs w:val="30"/>
          <w:highlight w:val="none"/>
          <w:lang w:eastAsia="zh-CN"/>
        </w:rPr>
        <w:t>经营主体</w:t>
      </w:r>
      <w:r>
        <w:rPr>
          <w:rFonts w:hint="default" w:ascii="Times New Roman" w:hAnsi="Times New Roman" w:cs="Times New Roman"/>
          <w:szCs w:val="30"/>
          <w:highlight w:val="none"/>
          <w:lang w:val="en-US" w:eastAsia="zh-CN"/>
        </w:rPr>
        <w:t>协商意见或交易公告为准</w:t>
      </w:r>
      <w:r>
        <w:rPr>
          <w:rFonts w:hint="eastAsia" w:cs="Times New Roman"/>
          <w:szCs w:val="30"/>
          <w:highlight w:val="none"/>
          <w:lang w:val="en-US" w:eastAsia="zh-CN"/>
        </w:rPr>
        <w:t>。</w:t>
      </w:r>
    </w:p>
    <w:p>
      <w:pPr>
        <w:numPr>
          <w:ilvl w:val="0"/>
          <w:numId w:val="0"/>
        </w:numPr>
        <w:overflowPunct w:val="0"/>
        <w:snapToGrid w:val="0"/>
        <w:spacing w:line="560" w:lineRule="exact"/>
        <w:ind w:firstLine="600" w:firstLineChars="2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（三）交易申报。</w:t>
      </w:r>
      <w:r>
        <w:rPr>
          <w:rFonts w:hint="eastAsia" w:cs="Times New Roman"/>
          <w:szCs w:val="30"/>
          <w:highlight w:val="none"/>
          <w:lang w:eastAsia="zh-CN"/>
        </w:rPr>
        <w:t>经营主体</w:t>
      </w:r>
      <w:r>
        <w:rPr>
          <w:rFonts w:hint="default" w:ascii="Times New Roman" w:hAnsi="Times New Roman" w:cs="Times New Roman"/>
          <w:szCs w:val="30"/>
          <w:highlight w:val="none"/>
        </w:rPr>
        <w:t>通过电力交易平台申报电力、电量和价格，按规则折算至交易关口。电力申报单位为MW，电量申报单位为MWh，价格申报单位为元/MWh。</w:t>
      </w:r>
      <w:r>
        <w:rPr>
          <w:rFonts w:hint="eastAsia" w:cs="Times New Roman"/>
          <w:szCs w:val="30"/>
          <w:highlight w:val="none"/>
          <w:lang w:eastAsia="zh-CN"/>
        </w:rPr>
        <w:t>经营主体</w:t>
      </w:r>
      <w:r>
        <w:rPr>
          <w:rFonts w:hint="default" w:ascii="Times New Roman" w:hAnsi="Times New Roman" w:cs="Times New Roman"/>
          <w:szCs w:val="30"/>
          <w:highlight w:val="none"/>
          <w:lang w:val="en-US" w:eastAsia="zh-CN"/>
        </w:rPr>
        <w:t>申报电量根据可申报电量额度动态调整。</w:t>
      </w:r>
    </w:p>
    <w:p>
      <w:pPr>
        <w:numPr>
          <w:ilvl w:val="0"/>
          <w:numId w:val="0"/>
        </w:numPr>
        <w:overflowPunct w:val="0"/>
        <w:snapToGrid w:val="0"/>
        <w:spacing w:line="560" w:lineRule="exact"/>
        <w:ind w:firstLine="600" w:firstLineChars="2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（四）交易出清。按照交易规则，广州电力交易中心在电力调度机构提供的安全约束条件下开展电力交易出清，</w:t>
      </w:r>
      <w:r>
        <w:rPr>
          <w:rFonts w:hint="default" w:ascii="Times New Roman" w:hAnsi="Times New Roman" w:cs="Times New Roman"/>
          <w:szCs w:val="30"/>
          <w:highlight w:val="none"/>
          <w:lang w:val="en-US" w:eastAsia="zh-CN"/>
        </w:rPr>
        <w:t>选择受电省区电网企业与超高压公司之间的计量关口作为出清关口，明确供需匹配关系，</w:t>
      </w:r>
      <w:r>
        <w:rPr>
          <w:rFonts w:hint="default" w:ascii="Times New Roman" w:hAnsi="Times New Roman" w:cs="Times New Roman"/>
          <w:szCs w:val="30"/>
          <w:highlight w:val="none"/>
        </w:rPr>
        <w:t>形成无约束交易结果。</w:t>
      </w:r>
    </w:p>
    <w:p>
      <w:pPr>
        <w:numPr>
          <w:ilvl w:val="0"/>
          <w:numId w:val="0"/>
        </w:numPr>
        <w:overflowPunct w:val="0"/>
        <w:snapToGrid w:val="0"/>
        <w:spacing w:line="560" w:lineRule="exact"/>
        <w:ind w:firstLine="600" w:firstLineChars="2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五）安全校核。广州电力交易中心将每类汇总后的无约束交易结果提交至电力调度机构统一进行安全校核，电力调度机构应在规定时限内返回安全校核结果。安全校核时间按照《电力中长期交易基本规则》执行。安全校核未通过时，南网总调应书面说明安全约束及未通过安全校核的说明。广州电力交易中心根据安全校核结果对交易结果进行调整，并向</w:t>
      </w:r>
      <w:r>
        <w:rPr>
          <w:rFonts w:hint="eastAsia" w:cs="Times New Roman"/>
          <w:szCs w:val="30"/>
          <w:highlight w:val="none"/>
          <w:lang w:eastAsia="zh-CN"/>
        </w:rPr>
        <w:t>经营主体</w:t>
      </w:r>
      <w:r>
        <w:rPr>
          <w:rFonts w:hint="default" w:ascii="Times New Roman" w:hAnsi="Times New Roman" w:cs="Times New Roman"/>
          <w:szCs w:val="30"/>
          <w:highlight w:val="none"/>
        </w:rPr>
        <w:t>公布。</w:t>
      </w:r>
    </w:p>
    <w:p>
      <w:pPr>
        <w:numPr>
          <w:ilvl w:val="0"/>
          <w:numId w:val="0"/>
        </w:numPr>
        <w:overflowPunct w:val="0"/>
        <w:snapToGrid w:val="0"/>
        <w:spacing w:line="560" w:lineRule="exact"/>
        <w:ind w:firstLine="600" w:firstLineChars="2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（六）结果发布。广州电力交易中心发布交易结果。</w:t>
      </w:r>
      <w:r>
        <w:rPr>
          <w:rFonts w:hint="eastAsia" w:cs="Times New Roman"/>
          <w:szCs w:val="30"/>
          <w:highlight w:val="none"/>
          <w:lang w:eastAsia="zh-CN"/>
        </w:rPr>
        <w:t>经营主体</w:t>
      </w:r>
      <w:r>
        <w:rPr>
          <w:rFonts w:hint="default" w:ascii="Times New Roman" w:hAnsi="Times New Roman" w:cs="Times New Roman"/>
          <w:szCs w:val="30"/>
          <w:highlight w:val="none"/>
        </w:rPr>
        <w:t>对交易结果有异议的，应在交易结果发布1个工作日内向广州电力交易中心提出，由广州电力交易中心会同电力调度机构在1个工作日内给予解释。</w:t>
      </w:r>
    </w:p>
    <w:p>
      <w:pPr>
        <w:numPr>
          <w:ilvl w:val="0"/>
          <w:numId w:val="0"/>
        </w:numPr>
        <w:overflowPunct w:val="0"/>
        <w:snapToGrid w:val="0"/>
        <w:spacing w:line="560" w:lineRule="exact"/>
        <w:jc w:val="center"/>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第二节 交易组织</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年度交易，在年度</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交易完成后，以确定的年度</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作为边界，再根据</w:t>
      </w:r>
      <w:r>
        <w:rPr>
          <w:rFonts w:hint="eastAsia" w:cs="Times New Roman"/>
          <w:szCs w:val="30"/>
          <w:highlight w:val="none"/>
          <w:lang w:eastAsia="zh-CN"/>
        </w:rPr>
        <w:t>经营主体</w:t>
      </w:r>
      <w:r>
        <w:rPr>
          <w:rFonts w:hint="default" w:ascii="Times New Roman" w:hAnsi="Times New Roman" w:cs="Times New Roman"/>
          <w:szCs w:val="30"/>
          <w:highlight w:val="none"/>
        </w:rPr>
        <w:t>需求组织增量电量交易和合同交易，具体以交易公告为准。每一次年度交易可以组织一个或多个交易品种。</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年度交易安全约束条件：</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（一）每一次年度交易开始前，广州电力交易中心依据</w:t>
      </w:r>
      <w:r>
        <w:rPr>
          <w:rFonts w:hint="eastAsia" w:cs="Times New Roman"/>
          <w:szCs w:val="30"/>
          <w:highlight w:val="none"/>
          <w:lang w:eastAsia="zh-CN"/>
        </w:rPr>
        <w:t>电力调度机构</w:t>
      </w:r>
      <w:r>
        <w:rPr>
          <w:rFonts w:hint="default" w:ascii="Times New Roman" w:hAnsi="Times New Roman" w:cs="Times New Roman"/>
          <w:szCs w:val="30"/>
          <w:highlight w:val="none"/>
        </w:rPr>
        <w:t>提供的最近一次更新的省间通道能力、电力电量平衡安排、电厂发电能力约束等信息作为交易组织的安全约束条件。</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（二）每一次年度交易结束后，广州电力交易中心依据</w:t>
      </w:r>
      <w:r>
        <w:rPr>
          <w:rFonts w:hint="eastAsia" w:cs="Times New Roman"/>
          <w:szCs w:val="30"/>
          <w:highlight w:val="none"/>
          <w:lang w:eastAsia="zh-CN"/>
        </w:rPr>
        <w:t>电力调度机构</w:t>
      </w:r>
      <w:r>
        <w:rPr>
          <w:rFonts w:hint="default" w:ascii="Times New Roman" w:hAnsi="Times New Roman" w:cs="Times New Roman"/>
          <w:szCs w:val="30"/>
          <w:highlight w:val="none"/>
        </w:rPr>
        <w:t>提供的省间通道能力、电力电量平衡安排、电厂发电能力约束等信息评估省间剩余通道能力、电厂剩余发电能力等信息，评估结果作为下一次交易的安全约束条件。</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广州电力交易中心汇总并出清年度交易结果，提交南网总调进行安全校核。年度交易安全校核时间按照《电力中长期交易基本规则》执行。</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月度交易，在月度</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交易完成后，以确定的月度</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作为边界，再根据</w:t>
      </w:r>
      <w:r>
        <w:rPr>
          <w:rFonts w:hint="eastAsia" w:cs="Times New Roman"/>
          <w:szCs w:val="30"/>
          <w:highlight w:val="none"/>
          <w:lang w:eastAsia="zh-CN"/>
        </w:rPr>
        <w:t>经营主体</w:t>
      </w:r>
      <w:r>
        <w:rPr>
          <w:rFonts w:hint="default" w:ascii="Times New Roman" w:hAnsi="Times New Roman" w:cs="Times New Roman"/>
          <w:szCs w:val="30"/>
          <w:highlight w:val="none"/>
        </w:rPr>
        <w:t>需求组织增量电量交易和合同交易，具体以交易公告为准。每一次月度交易可以组织一个或多个交易品种。</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送受电省区及跨区跨省市场交易组织时间节点：</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（一）月度</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交易原则上于每月20日前组织。</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（二）月度跨区跨省市场化交易原则上不迟于当月22日公布跨区跨省市场规模，原则上不迟于当月24日开始组织交易，月内临时交易及消纳清洁能源、余缺调剂所需的特定交易品种可根据需要灵活开展。</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月度交易安全约束条件：</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（一）月度交易开始前，</w:t>
      </w:r>
      <w:r>
        <w:rPr>
          <w:rFonts w:hint="eastAsia" w:cs="Times New Roman"/>
          <w:szCs w:val="30"/>
          <w:highlight w:val="none"/>
          <w:lang w:eastAsia="zh-CN"/>
        </w:rPr>
        <w:t>电力调度机构</w:t>
      </w:r>
      <w:r>
        <w:rPr>
          <w:rFonts w:hint="default" w:ascii="Times New Roman" w:hAnsi="Times New Roman" w:cs="Times New Roman"/>
          <w:szCs w:val="30"/>
          <w:highlight w:val="none"/>
        </w:rPr>
        <w:t>向广州电力交易中心提供通道能力、电力电量平衡安排、发电能力等初步约束条件。</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（二）每次交易前相关省电力交易中心向广州电力交易中心提供参与跨区跨省交易各电厂已成交的省内交易电量。</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（三）每一次月度交易开始前，广州电力交易中心依据</w:t>
      </w:r>
      <w:r>
        <w:rPr>
          <w:rFonts w:hint="eastAsia" w:cs="Times New Roman"/>
          <w:szCs w:val="30"/>
          <w:highlight w:val="none"/>
          <w:lang w:eastAsia="zh-CN"/>
        </w:rPr>
        <w:t>电力调度机构</w:t>
      </w:r>
      <w:r>
        <w:rPr>
          <w:rFonts w:hint="default" w:ascii="Times New Roman" w:hAnsi="Times New Roman" w:cs="Times New Roman"/>
          <w:szCs w:val="30"/>
          <w:highlight w:val="none"/>
        </w:rPr>
        <w:t>提供的最近一次更新的省间通道能力、电力电量平衡安排、电厂发电能力约束等信息作为交易组织的安全约束条件。</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（四）每一次月度交易结束后，广州电力交易中心依据</w:t>
      </w:r>
      <w:r>
        <w:rPr>
          <w:rFonts w:hint="eastAsia" w:cs="Times New Roman"/>
          <w:szCs w:val="30"/>
          <w:highlight w:val="none"/>
          <w:lang w:eastAsia="zh-CN"/>
        </w:rPr>
        <w:t>电力调度机构</w:t>
      </w:r>
      <w:r>
        <w:rPr>
          <w:rFonts w:hint="default" w:ascii="Times New Roman" w:hAnsi="Times New Roman" w:cs="Times New Roman"/>
          <w:szCs w:val="30"/>
          <w:highlight w:val="none"/>
        </w:rPr>
        <w:t>提供的省间通道能力、电厂发电能力约束等信息评估省间剩余通道能力、电厂剩余发电能力等信息，评估结果作为下一次交易的安全约束条件。</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月度交易安全校核流程：</w:t>
      </w:r>
    </w:p>
    <w:p>
      <w:pPr>
        <w:overflowPunct w:val="0"/>
        <w:snapToGrid w:val="0"/>
        <w:spacing w:line="560" w:lineRule="exact"/>
        <w:ind w:firstLine="600"/>
        <w:rPr>
          <w:rFonts w:hint="eastAsia"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（一）月度所有交易品种组织完成后，广州电力交易中心汇总各交易品种成交结果，提交给南网总调进行安全校核</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（二）南网总调组织相关调度机构进行安全校核，及时反馈结果和未通过安全校核的原因，安全校核时间按照《电力中长期交易基本规则》执行。</w:t>
      </w:r>
    </w:p>
    <w:p>
      <w:pPr>
        <w:numPr>
          <w:ilvl w:val="0"/>
          <w:numId w:val="1"/>
        </w:numPr>
        <w:overflowPunct w:val="0"/>
        <w:snapToGrid w:val="0"/>
        <w:spacing w:line="560" w:lineRule="exact"/>
        <w:ind w:firstLine="643" w:firstLineChars="0"/>
        <w:rPr>
          <w:rFonts w:hint="default" w:ascii="Times New Roman" w:hAnsi="Times New Roman" w:cs="Times New Roman"/>
          <w:highlight w:val="none"/>
        </w:rPr>
      </w:pPr>
      <w:r>
        <w:rPr>
          <w:rFonts w:hint="default" w:ascii="Times New Roman" w:hAnsi="Times New Roman" w:cs="Times New Roman"/>
          <w:szCs w:val="30"/>
          <w:highlight w:val="none"/>
        </w:rPr>
        <w:t>周</w:t>
      </w:r>
      <w:r>
        <w:rPr>
          <w:rFonts w:hint="eastAsia" w:cs="Times New Roman"/>
          <w:szCs w:val="30"/>
          <w:highlight w:val="none"/>
          <w:lang w:eastAsia="zh-CN"/>
        </w:rPr>
        <w:t>或多日</w:t>
      </w:r>
      <w:r>
        <w:rPr>
          <w:rFonts w:hint="default" w:ascii="Times New Roman" w:hAnsi="Times New Roman" w:cs="Times New Roman"/>
          <w:szCs w:val="30"/>
          <w:highlight w:val="none"/>
        </w:rPr>
        <w:t>交易，在周</w:t>
      </w:r>
      <w:r>
        <w:rPr>
          <w:rFonts w:hint="eastAsia" w:cs="Times New Roman"/>
          <w:szCs w:val="30"/>
          <w:highlight w:val="none"/>
          <w:lang w:eastAsia="zh-CN"/>
        </w:rPr>
        <w:t>（多日）跨省跨区优先发电规模计划电量</w:t>
      </w:r>
      <w:r>
        <w:rPr>
          <w:rFonts w:hint="default" w:ascii="Times New Roman" w:hAnsi="Times New Roman" w:cs="Times New Roman"/>
          <w:szCs w:val="30"/>
          <w:highlight w:val="none"/>
        </w:rPr>
        <w:t>交易完成后，以确定的周</w:t>
      </w:r>
      <w:r>
        <w:rPr>
          <w:rFonts w:hint="eastAsia" w:cs="Times New Roman"/>
          <w:szCs w:val="30"/>
          <w:highlight w:val="none"/>
          <w:lang w:eastAsia="zh-CN"/>
        </w:rPr>
        <w:t>（多日）跨省跨区优先发电规模计划电量</w:t>
      </w:r>
      <w:r>
        <w:rPr>
          <w:rFonts w:hint="default" w:ascii="Times New Roman" w:hAnsi="Times New Roman" w:cs="Times New Roman"/>
          <w:szCs w:val="30"/>
          <w:highlight w:val="none"/>
        </w:rPr>
        <w:t>作为边界，再根据</w:t>
      </w:r>
      <w:r>
        <w:rPr>
          <w:rFonts w:hint="eastAsia" w:cs="Times New Roman"/>
          <w:szCs w:val="30"/>
          <w:highlight w:val="none"/>
          <w:lang w:eastAsia="zh-CN"/>
        </w:rPr>
        <w:t>经营主体经</w:t>
      </w:r>
      <w:r>
        <w:rPr>
          <w:rFonts w:hint="default" w:ascii="Times New Roman" w:hAnsi="Times New Roman" w:cs="Times New Roman"/>
          <w:szCs w:val="30"/>
          <w:highlight w:val="none"/>
        </w:rPr>
        <w:t>需求组织增量电量交易和合同交易，具体以交易公告为准。每一次周</w:t>
      </w:r>
      <w:r>
        <w:rPr>
          <w:rFonts w:hint="eastAsia" w:cs="Times New Roman"/>
          <w:szCs w:val="30"/>
          <w:highlight w:val="none"/>
          <w:lang w:eastAsia="zh-CN"/>
        </w:rPr>
        <w:t>或多日</w:t>
      </w:r>
      <w:r>
        <w:rPr>
          <w:rFonts w:hint="default" w:ascii="Times New Roman" w:hAnsi="Times New Roman" w:cs="Times New Roman"/>
          <w:szCs w:val="30"/>
          <w:highlight w:val="none"/>
        </w:rPr>
        <w:t>交易可以组织一个或多个交易品种。周</w:t>
      </w:r>
      <w:r>
        <w:rPr>
          <w:rFonts w:hint="eastAsia" w:cs="Times New Roman"/>
          <w:szCs w:val="30"/>
          <w:highlight w:val="none"/>
          <w:lang w:eastAsia="zh-CN"/>
        </w:rPr>
        <w:t>或多日</w:t>
      </w:r>
      <w:r>
        <w:rPr>
          <w:rFonts w:hint="default" w:ascii="Times New Roman" w:hAnsi="Times New Roman" w:cs="Times New Roman"/>
          <w:szCs w:val="30"/>
          <w:highlight w:val="none"/>
        </w:rPr>
        <w:t>所有交易品种组织完成后，广州电力交易中心汇总各交易品种成交结果，提交给南网总调进行安全校核。南网总调组织相关调度机构进行安全校核，及时反馈结果和未通过安全校核的原因，安全校核时间按照《电力中长期交易基本规则》执行。</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35" w:name="_Toc88663435"/>
      <w:bookmarkStart w:id="36" w:name="_Toc11178"/>
      <w:r>
        <w:rPr>
          <w:rFonts w:hint="default" w:ascii="Times New Roman" w:hAnsi="Times New Roman" w:eastAsia="黑体" w:cs="Times New Roman"/>
          <w:bCs w:val="0"/>
          <w:kern w:val="2"/>
          <w:sz w:val="30"/>
          <w:szCs w:val="30"/>
          <w:highlight w:val="none"/>
        </w:rPr>
        <w:t>安全校核</w:t>
      </w:r>
      <w:bookmarkEnd w:id="35"/>
      <w:bookmarkEnd w:id="36"/>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为保障系统整体的备用和调峰调频能力，在各类市场化交易开始前，电力调度机构可以根据机组可调出力、检修天数、系统负荷曲线以及电网约束情况，折算得到各机组的电量上限，对参与市场化交易的机组发电利用小时数提出限制建议，并及时提供关键通道可用容量、关键设备检修计划等电网运行相关信息，由电力交易机构予以公布。</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对于年度交易，应当在年度电力电量预测平衡的基础上，结合检修计划，按照不低于关键通道可用输电容量的</w:t>
      </w:r>
      <w:r>
        <w:rPr>
          <w:rFonts w:hint="default" w:ascii="Times New Roman" w:hAnsi="Times New Roman" w:cs="Times New Roman"/>
          <w:szCs w:val="30"/>
          <w:highlight w:val="none"/>
          <w:lang w:val="en-US"/>
        </w:rPr>
        <w:t>90</w:t>
      </w:r>
      <w:r>
        <w:rPr>
          <w:rFonts w:hint="default" w:ascii="Times New Roman" w:hAnsi="Times New Roman" w:cs="Times New Roman"/>
          <w:szCs w:val="30"/>
          <w:highlight w:val="none"/>
        </w:rPr>
        <w:t>%下达年度交易限额、分月交易限额。</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对于月度交易，应该在月度电力电量预测平衡的基础上，结合检修计划和发电设备利用率，按照不低于关键通道可用输电容量的9</w:t>
      </w:r>
      <w:r>
        <w:rPr>
          <w:rFonts w:hint="default" w:ascii="Times New Roman" w:hAnsi="Times New Roman" w:cs="Times New Roman"/>
          <w:szCs w:val="30"/>
          <w:highlight w:val="none"/>
          <w:lang w:val="en-US"/>
        </w:rPr>
        <w:t>5</w:t>
      </w:r>
      <w:r>
        <w:rPr>
          <w:rFonts w:hint="default" w:ascii="Times New Roman" w:hAnsi="Times New Roman" w:cs="Times New Roman"/>
          <w:szCs w:val="30"/>
          <w:highlight w:val="none"/>
        </w:rPr>
        <w:t>%下达月度交易限额、各周</w:t>
      </w:r>
      <w:r>
        <w:rPr>
          <w:rFonts w:hint="eastAsia" w:cs="Times New Roman"/>
          <w:szCs w:val="30"/>
          <w:highlight w:val="none"/>
          <w:lang w:eastAsia="zh-CN"/>
        </w:rPr>
        <w:t>或多日</w:t>
      </w:r>
      <w:r>
        <w:rPr>
          <w:rFonts w:hint="default" w:ascii="Times New Roman" w:hAnsi="Times New Roman" w:cs="Times New Roman"/>
          <w:szCs w:val="30"/>
          <w:highlight w:val="none"/>
        </w:rPr>
        <w:t>交易限额。</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对于月内以及周交易，参照月度交易的限额制定方法按照不低于关键通道可用输电容量的95%下达交易限额。</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输电通道原则上按照每笔交易的成交顺序依次安排。成交顺序的认定为:</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对于同一标的原则上按照年度（多年）、月度、月内及周</w:t>
      </w:r>
      <w:r>
        <w:rPr>
          <w:rFonts w:hint="eastAsia" w:cs="Times New Roman"/>
          <w:szCs w:val="30"/>
          <w:highlight w:val="none"/>
          <w:lang w:eastAsia="zh-CN"/>
        </w:rPr>
        <w:t>（多日）</w:t>
      </w:r>
      <w:r>
        <w:rPr>
          <w:rFonts w:hint="default" w:ascii="Times New Roman" w:hAnsi="Times New Roman" w:cs="Times New Roman"/>
          <w:szCs w:val="30"/>
          <w:highlight w:val="none"/>
        </w:rPr>
        <w:t>的顺序开展交易及成交。</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同一周期的交易按先协商、再挂牌或竞价交易的顺序开展交易及成交。</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同一时段开展的交易按</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 xml:space="preserve">、增量电量顺序成交。 </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同类别标的、同交易类型电量按照清洁能源优先顺序成交</w:t>
      </w:r>
      <w:r>
        <w:rPr>
          <w:rFonts w:hint="eastAsia" w:cs="Times New Roman"/>
          <w:szCs w:val="30"/>
          <w:highlight w:val="none"/>
          <w:lang w:eastAsia="zh-CN"/>
        </w:rPr>
        <w:t>，其中绿色电力交易电量优先成交</w:t>
      </w:r>
      <w:r>
        <w:rPr>
          <w:rFonts w:hint="default" w:ascii="Times New Roman" w:hAnsi="Times New Roman" w:cs="Times New Roman"/>
          <w:szCs w:val="30"/>
          <w:highlight w:val="none"/>
        </w:rPr>
        <w:t>，当以上条件均相同时，按照申报电量等比例原则成交。通过预招标方式形成的交易由调度机构根据实际运行需要调用并做好记录，在计划执行前不单独安排通道。</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南方区域跨区跨省电力中长期各类交易应当通过电力调度机构安全校核。安全校核的主要内容包括通道输电能力限制、电力电量平衡、机组发电能力限制、机组辅助服务限制等。安全校核应遵循以下基本原则：</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（一）电网安全原则。安全校核应依据国家、行业关于电网安全的法律法规、技术标准进行，确保校核结果满足安全约束。所有交易结果必须通过安全校核方能进行调度执行。</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（二）节能低碳原则。按照节能低碳原则确定中长期交易安全校核的基础开机组合和初始潮流；按照清洁能源消纳最大化原则保障调峰调频容量的充裕度。</w:t>
      </w:r>
    </w:p>
    <w:p>
      <w:pPr>
        <w:overflowPunct w:val="0"/>
        <w:snapToGrid w:val="0"/>
        <w:spacing w:line="560" w:lineRule="exact"/>
        <w:ind w:firstLine="600"/>
        <w:rPr>
          <w:rFonts w:hint="eastAsia"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（三）逐步逼近原则。考虑到电力系统运行的各种不确定性，在进行年、月安全校核时，应留出一定的通道传输能力空间，剩余的通道能力空间留在月内使用</w:t>
      </w:r>
      <w:r>
        <w:rPr>
          <w:rFonts w:hint="eastAsia" w:cs="Times New Roman"/>
          <w:szCs w:val="30"/>
          <w:highlight w:val="none"/>
          <w:lang w:eastAsia="zh-CN"/>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电力调度机构应当及时向电力交易机构提供各断面（设备）、各路径可用输电容量、以及影响断面（设备）限额变化的停电检修等。</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安全校核未通过时，由广州电力交易中心按照交易成交顺序逆序调减。其中，同一时段开展的交易按增量电量、</w:t>
      </w:r>
      <w:r>
        <w:rPr>
          <w:rFonts w:hint="default" w:ascii="Times New Roman" w:hAnsi="Times New Roman" w:cs="Times New Roman"/>
          <w:szCs w:val="30"/>
          <w:highlight w:val="none"/>
          <w:lang w:val="en-US" w:eastAsia="zh-CN"/>
        </w:rPr>
        <w:t>保量竞价电量</w:t>
      </w:r>
      <w:r>
        <w:rPr>
          <w:rFonts w:hint="eastAsia" w:cs="Times New Roman"/>
          <w:szCs w:val="30"/>
          <w:highlight w:val="none"/>
          <w:lang w:val="en-US" w:eastAsia="zh-CN"/>
        </w:rPr>
        <w:t>、</w:t>
      </w:r>
      <w:r>
        <w:rPr>
          <w:rFonts w:hint="default" w:ascii="Times New Roman" w:hAnsi="Times New Roman" w:cs="Times New Roman"/>
          <w:szCs w:val="30"/>
          <w:highlight w:val="none"/>
          <w:lang w:val="en-US" w:eastAsia="zh-CN"/>
        </w:rPr>
        <w:t>保量保价</w:t>
      </w:r>
      <w:r>
        <w:rPr>
          <w:rFonts w:hint="default" w:ascii="Times New Roman" w:hAnsi="Times New Roman" w:cs="Times New Roman"/>
          <w:szCs w:val="30"/>
          <w:highlight w:val="none"/>
        </w:rPr>
        <w:t>电量的顺序调减；同类别标的、同交易类型电量按“清洁能源优先消纳”的原则进行调减；当以上条件均相同时，按照申报电量等比例原则进行调减。</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37" w:name="_Toc88663436"/>
      <w:bookmarkStart w:id="38" w:name="_Toc5449"/>
      <w:r>
        <w:rPr>
          <w:rFonts w:hint="default" w:ascii="Times New Roman" w:hAnsi="Times New Roman" w:eastAsia="黑体" w:cs="Times New Roman"/>
          <w:bCs w:val="0"/>
          <w:kern w:val="2"/>
          <w:sz w:val="30"/>
          <w:szCs w:val="30"/>
          <w:highlight w:val="none"/>
        </w:rPr>
        <w:t>交易执行</w:t>
      </w:r>
      <w:bookmarkEnd w:id="37"/>
      <w:bookmarkEnd w:id="38"/>
    </w:p>
    <w:p>
      <w:pPr>
        <w:numPr>
          <w:ilvl w:val="0"/>
          <w:numId w:val="0"/>
        </w:numPr>
        <w:overflowPunct w:val="0"/>
        <w:snapToGrid w:val="0"/>
        <w:spacing w:line="560" w:lineRule="exact"/>
        <w:jc w:val="center"/>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第一节 合同签订</w:t>
      </w:r>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default" w:ascii="Times New Roman" w:hAnsi="Times New Roman" w:cs="Times New Roman"/>
          <w:highlight w:val="none"/>
        </w:rPr>
        <w:t>南方区域跨区跨省电力中长期交易通过电子合同的方式签订交易合同</w:t>
      </w:r>
      <w:r>
        <w:rPr>
          <w:rFonts w:hint="eastAsia" w:cs="Times New Roman"/>
          <w:highlight w:val="none"/>
          <w:lang w:eastAsia="zh-CN"/>
        </w:rPr>
        <w:t>，本规则所述</w:t>
      </w:r>
      <w:r>
        <w:rPr>
          <w:rFonts w:hint="eastAsia" w:cs="Times New Roman"/>
          <w:highlight w:val="none"/>
          <w:lang w:val="en-US" w:eastAsia="zh-CN"/>
        </w:rPr>
        <w:t>交易</w:t>
      </w:r>
      <w:r>
        <w:rPr>
          <w:rFonts w:hint="eastAsia" w:cs="Times New Roman"/>
          <w:highlight w:val="none"/>
          <w:lang w:eastAsia="zh-CN"/>
        </w:rPr>
        <w:t>合同均指电子合同</w:t>
      </w:r>
      <w:r>
        <w:rPr>
          <w:rFonts w:hint="default" w:ascii="Times New Roman" w:hAnsi="Times New Roman" w:cs="Times New Roman"/>
          <w:highlight w:val="none"/>
        </w:rPr>
        <w:t>。广州电力交易中心将电力交易平台出具的入市协议、交易公告、</w:t>
      </w:r>
      <w:r>
        <w:rPr>
          <w:rFonts w:hint="eastAsia"/>
          <w:highlight w:val="none"/>
          <w:lang w:eastAsia="zh-CN"/>
        </w:rPr>
        <w:t>交易承诺书、</w:t>
      </w:r>
      <w:r>
        <w:rPr>
          <w:rFonts w:hint="default" w:ascii="Times New Roman" w:hAnsi="Times New Roman" w:cs="Times New Roman"/>
          <w:highlight w:val="none"/>
        </w:rPr>
        <w:t>交易结果通知书等视同为电子合同。电子合同与纸质合同具备同等效力。电力交易平台应当满足国家电子合同有关规定的技术要求。</w:t>
      </w:r>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default" w:ascii="Times New Roman" w:hAnsi="Times New Roman" w:cs="Times New Roman"/>
          <w:highlight w:val="none"/>
        </w:rPr>
        <w:t>交易合同</w:t>
      </w:r>
      <w:r>
        <w:rPr>
          <w:rFonts w:hint="default" w:ascii="Times New Roman" w:hAnsi="Times New Roman" w:cs="Times New Roman"/>
          <w:szCs w:val="30"/>
          <w:highlight w:val="none"/>
        </w:rPr>
        <w:t>应明确购电方、售电方、输电方、电量（电力）、电价、执行周期、曲线或曲线分解原则、结算方式、偏差电量计量、违约责任、资</w:t>
      </w:r>
      <w:r>
        <w:rPr>
          <w:rFonts w:hint="default" w:ascii="Times New Roman" w:hAnsi="Times New Roman" w:cs="Times New Roman"/>
          <w:highlight w:val="none"/>
        </w:rPr>
        <w:t>金往来信息等内容。</w:t>
      </w:r>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default" w:ascii="Times New Roman" w:hAnsi="Times New Roman" w:cs="Times New Roman"/>
          <w:highlight w:val="none"/>
        </w:rPr>
        <w:t>交易各方可根据电力供需形势变化，在协商一致且不影响其他经营主体交易合同执行的基础上，通过交易平台对交易合同中未发生的交易电量和分月安排等内容进行调整。</w:t>
      </w:r>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eastAsia" w:cs="Times New Roman"/>
          <w:highlight w:val="none"/>
          <w:lang w:eastAsia="zh-CN"/>
        </w:rPr>
        <w:t>经营主体</w:t>
      </w:r>
      <w:r>
        <w:rPr>
          <w:rFonts w:hint="default" w:ascii="Times New Roman" w:hAnsi="Times New Roman" w:cs="Times New Roman"/>
          <w:highlight w:val="none"/>
        </w:rPr>
        <w:t>对交易合同中的交易价格、交易期限等合同要素进行调整时，应签订相关调整变更协议，明确调整内容，经广州电力交易中心合规性校核和电力调度机构安全校核后执行。</w:t>
      </w:r>
    </w:p>
    <w:p>
      <w:pPr>
        <w:numPr>
          <w:ilvl w:val="0"/>
          <w:numId w:val="0"/>
        </w:numPr>
        <w:overflowPunct w:val="0"/>
        <w:snapToGrid w:val="0"/>
        <w:spacing w:line="560" w:lineRule="exact"/>
        <w:jc w:val="center"/>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第二节 交易计划与执行</w:t>
      </w:r>
    </w:p>
    <w:p>
      <w:pPr>
        <w:numPr>
          <w:ilvl w:val="0"/>
          <w:numId w:val="1"/>
        </w:numPr>
        <w:overflowPunct w:val="0"/>
        <w:snapToGrid w:val="0"/>
        <w:spacing w:line="560" w:lineRule="exact"/>
        <w:ind w:firstLineChars="0"/>
        <w:rPr>
          <w:rFonts w:hint="default" w:ascii="Times New Roman" w:hAnsi="Times New Roman" w:cs="Times New Roman"/>
          <w:color w:val="auto"/>
          <w:highlight w:val="none"/>
        </w:rPr>
      </w:pPr>
      <w:r>
        <w:rPr>
          <w:rFonts w:hint="default" w:ascii="Times New Roman" w:hAnsi="Times New Roman" w:cs="Times New Roman"/>
          <w:highlight w:val="none"/>
        </w:rPr>
        <w:t>广州</w:t>
      </w:r>
      <w:r>
        <w:rPr>
          <w:rFonts w:hint="default" w:ascii="Times New Roman" w:hAnsi="Times New Roman" w:cs="Times New Roman"/>
          <w:color w:val="auto"/>
          <w:highlight w:val="none"/>
        </w:rPr>
        <w:t>电力交易中心汇总安全校核后的各类跨区跨省交易合同</w:t>
      </w:r>
      <w:r>
        <w:rPr>
          <w:rFonts w:hint="eastAsia"/>
          <w:color w:val="auto"/>
          <w:highlight w:val="none"/>
        </w:rPr>
        <w:t>，在每月</w:t>
      </w:r>
      <w:r>
        <w:rPr>
          <w:rFonts w:hint="eastAsia"/>
          <w:color w:val="auto"/>
          <w:highlight w:val="none"/>
          <w:lang w:val="en-US" w:eastAsia="zh-CN"/>
        </w:rPr>
        <w:t>不迟于月底</w:t>
      </w:r>
      <w:r>
        <w:rPr>
          <w:rFonts w:hint="eastAsia"/>
          <w:color w:val="auto"/>
          <w:highlight w:val="none"/>
        </w:rPr>
        <w:t>第2个工作日</w:t>
      </w:r>
      <w:r>
        <w:rPr>
          <w:rFonts w:hint="default" w:ascii="Times New Roman" w:hAnsi="Times New Roman" w:cs="Times New Roman"/>
          <w:color w:val="auto"/>
          <w:highlight w:val="none"/>
        </w:rPr>
        <w:t>发布交易计划。</w:t>
      </w:r>
    </w:p>
    <w:p>
      <w:pPr>
        <w:overflowPunct w:val="0"/>
        <w:snapToGrid w:val="0"/>
        <w:spacing w:line="560" w:lineRule="exact"/>
        <w:ind w:firstLine="600"/>
        <w:rPr>
          <w:rFonts w:hint="default" w:ascii="Times New Roman" w:hAnsi="Times New Roman" w:cs="Times New Roman"/>
          <w:highlight w:val="none"/>
        </w:rPr>
      </w:pPr>
      <w:r>
        <w:rPr>
          <w:rFonts w:hint="default" w:ascii="Times New Roman" w:hAnsi="Times New Roman" w:cs="Times New Roman"/>
          <w:highlight w:val="none"/>
        </w:rPr>
        <w:t>其中，年度交易计划根据年度交易结果汇总编制。年度交易计划明确各笔年度总成交电量、价格</w:t>
      </w:r>
      <w:r>
        <w:rPr>
          <w:rFonts w:hint="default" w:ascii="Times New Roman" w:hAnsi="Times New Roman" w:cs="Times New Roman"/>
          <w:highlight w:val="none"/>
          <w:lang w:eastAsia="zh-CN"/>
        </w:rPr>
        <w:t>（</w:t>
      </w:r>
      <w:r>
        <w:rPr>
          <w:rFonts w:hint="default" w:ascii="Times New Roman" w:hAnsi="Times New Roman" w:cs="Times New Roman"/>
          <w:highlight w:val="none"/>
        </w:rPr>
        <w:t>或价格机制）及初步的分月电力电量及曲线安排（包括月分日、日分时曲线）。</w:t>
      </w:r>
    </w:p>
    <w:p>
      <w:pPr>
        <w:overflowPunct w:val="0"/>
        <w:snapToGrid w:val="0"/>
        <w:spacing w:line="560" w:lineRule="exact"/>
        <w:ind w:firstLine="600"/>
        <w:rPr>
          <w:rFonts w:hint="default" w:ascii="Times New Roman" w:hAnsi="Times New Roman" w:cs="Times New Roman"/>
          <w:highlight w:val="none"/>
        </w:rPr>
      </w:pPr>
      <w:r>
        <w:rPr>
          <w:rFonts w:hint="default" w:ascii="Times New Roman" w:hAnsi="Times New Roman" w:cs="Times New Roman"/>
          <w:highlight w:val="none"/>
        </w:rPr>
        <w:t>月度交易计划根据年度交易计划的分月确认计划和月度交易结果汇总编制。其中对于通过协商方式形成的年度交易计划，</w:t>
      </w:r>
      <w:r>
        <w:rPr>
          <w:rFonts w:hint="eastAsia" w:cs="Times New Roman"/>
          <w:highlight w:val="none"/>
          <w:lang w:val="en-US" w:eastAsia="zh-CN"/>
        </w:rPr>
        <w:t>经营主体</w:t>
      </w:r>
      <w:r>
        <w:rPr>
          <w:rFonts w:hint="default" w:ascii="Times New Roman" w:hAnsi="Times New Roman" w:cs="Times New Roman"/>
          <w:highlight w:val="none"/>
          <w:lang w:val="en-US" w:eastAsia="zh-CN"/>
        </w:rPr>
        <w:t>在保障国家指令性计划、政府间框架协议、年度交易计划有效执行前提下，经协商一致可对年度交易计划的次月电量、分日及分时曲线、价格（或价格机制）等进行调整。如</w:t>
      </w:r>
      <w:r>
        <w:rPr>
          <w:rFonts w:hint="eastAsia" w:cs="Times New Roman"/>
          <w:highlight w:val="none"/>
          <w:lang w:val="en-US" w:eastAsia="zh-CN"/>
        </w:rPr>
        <w:t>经营主体</w:t>
      </w:r>
      <w:r>
        <w:rPr>
          <w:rFonts w:hint="default" w:ascii="Times New Roman" w:hAnsi="Times New Roman" w:cs="Times New Roman"/>
          <w:highlight w:val="none"/>
          <w:lang w:val="en-US" w:eastAsia="zh-CN"/>
        </w:rPr>
        <w:t>在月度及周（多日）交易中未</w:t>
      </w:r>
      <w:r>
        <w:rPr>
          <w:rFonts w:hint="default" w:ascii="Times New Roman" w:hAnsi="Times New Roman" w:eastAsia="仿宋_GB2312" w:cs="Times New Roman"/>
          <w:b w:val="0"/>
          <w:bCs w:val="0"/>
          <w:color w:val="auto"/>
          <w:kern w:val="2"/>
          <w:sz w:val="30"/>
          <w:szCs w:val="22"/>
          <w:highlight w:val="none"/>
          <w:u w:val="none"/>
          <w:lang w:val="en-US" w:eastAsia="zh-CN" w:bidi="ar"/>
        </w:rPr>
        <w:t>对调整意见达成一致并成功申报</w:t>
      </w:r>
      <w:r>
        <w:rPr>
          <w:rFonts w:hint="default" w:ascii="Times New Roman" w:hAnsi="Times New Roman" w:cs="Times New Roman"/>
          <w:highlight w:val="none"/>
          <w:lang w:val="en-US" w:eastAsia="zh-CN"/>
        </w:rPr>
        <w:t>，则按照年度交易的分月结果汇总相关交易计划。</w:t>
      </w:r>
      <w:r>
        <w:rPr>
          <w:rFonts w:hint="eastAsia" w:cs="Times New Roman"/>
          <w:highlight w:val="none"/>
          <w:lang w:eastAsia="zh-CN"/>
        </w:rPr>
        <w:t>根据电力保障供应需要，经营主体也可协商开展合同回购，对</w:t>
      </w:r>
      <w:r>
        <w:rPr>
          <w:rFonts w:hint="eastAsia" w:cs="Times New Roman"/>
          <w:szCs w:val="30"/>
          <w:highlight w:val="none"/>
          <w:lang w:eastAsia="zh-CN"/>
        </w:rPr>
        <w:t>跨省跨区</w:t>
      </w:r>
      <w:r>
        <w:rPr>
          <w:rFonts w:hint="eastAsia" w:cs="Times New Roman"/>
          <w:strike w:val="0"/>
          <w:szCs w:val="30"/>
          <w:highlight w:val="none"/>
          <w:lang w:val="en-US" w:eastAsia="zh-CN"/>
        </w:rPr>
        <w:t>交易</w:t>
      </w:r>
      <w:r>
        <w:rPr>
          <w:rFonts w:hint="eastAsia" w:cs="Times New Roman"/>
          <w:szCs w:val="30"/>
          <w:highlight w:val="none"/>
          <w:lang w:eastAsia="zh-CN"/>
        </w:rPr>
        <w:t>计划电量</w:t>
      </w:r>
      <w:r>
        <w:rPr>
          <w:rFonts w:hint="eastAsia" w:cs="Times New Roman"/>
          <w:highlight w:val="none"/>
          <w:lang w:eastAsia="zh-CN"/>
        </w:rPr>
        <w:t>进行调减，并自行协商承担相关经济责任。</w:t>
      </w:r>
      <w:r>
        <w:rPr>
          <w:rFonts w:hint="default" w:ascii="Times New Roman" w:hAnsi="Times New Roman" w:cs="Times New Roman"/>
          <w:highlight w:val="none"/>
        </w:rPr>
        <w:t>月度交易计划明确次月各笔交易的月度成交电量、价格（或价格机制）及分日电力电量及日分时曲线安排。</w:t>
      </w:r>
    </w:p>
    <w:p>
      <w:pPr>
        <w:overflowPunct w:val="0"/>
        <w:snapToGrid w:val="0"/>
        <w:spacing w:line="560" w:lineRule="exact"/>
        <w:ind w:firstLine="600"/>
        <w:rPr>
          <w:rFonts w:hint="default" w:ascii="Times New Roman" w:hAnsi="Times New Roman" w:cs="Times New Roman"/>
          <w:highlight w:val="none"/>
        </w:rPr>
      </w:pPr>
      <w:r>
        <w:rPr>
          <w:rFonts w:hint="default" w:ascii="Times New Roman" w:hAnsi="Times New Roman" w:cs="Times New Roman"/>
          <w:highlight w:val="none"/>
        </w:rPr>
        <w:t>根据交易需要开展月内交易的，则月度总交易计划为月度交易计划与月内临时计划之和。通过协商方式形成的月内交易结果可与月度交易计划一并在后续的周</w:t>
      </w:r>
      <w:r>
        <w:rPr>
          <w:rFonts w:hint="eastAsia" w:cs="Times New Roman"/>
          <w:highlight w:val="none"/>
          <w:lang w:eastAsia="zh-CN"/>
        </w:rPr>
        <w:t>或多日</w:t>
      </w:r>
      <w:r>
        <w:rPr>
          <w:rFonts w:hint="default" w:ascii="Times New Roman" w:hAnsi="Times New Roman" w:cs="Times New Roman"/>
          <w:highlight w:val="none"/>
        </w:rPr>
        <w:t>交易中进行调整。</w:t>
      </w:r>
    </w:p>
    <w:p>
      <w:pPr>
        <w:overflowPunct w:val="0"/>
        <w:snapToGrid w:val="0"/>
        <w:spacing w:line="560" w:lineRule="exact"/>
        <w:ind w:firstLine="600"/>
        <w:rPr>
          <w:rFonts w:hint="default" w:ascii="Times New Roman" w:hAnsi="Times New Roman" w:cs="Times New Roman"/>
          <w:color w:val="auto"/>
          <w:highlight w:val="none"/>
        </w:rPr>
      </w:pPr>
      <w:r>
        <w:rPr>
          <w:rFonts w:hint="default" w:ascii="Times New Roman" w:hAnsi="Times New Roman" w:cs="Times New Roman"/>
          <w:highlight w:val="none"/>
        </w:rPr>
        <w:t>周</w:t>
      </w:r>
      <w:r>
        <w:rPr>
          <w:rFonts w:hint="eastAsia" w:cs="Times New Roman"/>
          <w:highlight w:val="none"/>
          <w:lang w:eastAsia="zh-CN"/>
        </w:rPr>
        <w:t>及多日</w:t>
      </w:r>
      <w:r>
        <w:rPr>
          <w:rFonts w:hint="default" w:ascii="Times New Roman" w:hAnsi="Times New Roman" w:cs="Times New Roman"/>
          <w:highlight w:val="none"/>
        </w:rPr>
        <w:t>交易计划根据月度交易计划的分日计划和周</w:t>
      </w:r>
      <w:r>
        <w:rPr>
          <w:rFonts w:hint="eastAsia" w:cs="Times New Roman"/>
          <w:highlight w:val="none"/>
          <w:lang w:eastAsia="zh-CN"/>
        </w:rPr>
        <w:t>及多日</w:t>
      </w:r>
      <w:r>
        <w:rPr>
          <w:rFonts w:hint="default" w:ascii="Times New Roman" w:hAnsi="Times New Roman" w:cs="Times New Roman"/>
          <w:highlight w:val="none"/>
        </w:rPr>
        <w:t>交易结果汇总编制。其中对于通过协商方式形成的月度交易计划（含经月度双边协商交易确认的年度交易分月计划以及月度交易结果），</w:t>
      </w:r>
      <w:r>
        <w:rPr>
          <w:rFonts w:hint="eastAsia" w:cs="Times New Roman"/>
          <w:highlight w:val="none"/>
          <w:lang w:val="en-US" w:eastAsia="zh-CN"/>
        </w:rPr>
        <w:t>经营主体</w:t>
      </w:r>
      <w:r>
        <w:rPr>
          <w:rFonts w:hint="default" w:ascii="Times New Roman" w:hAnsi="Times New Roman" w:cs="Times New Roman"/>
          <w:highlight w:val="none"/>
          <w:lang w:val="en-US" w:eastAsia="zh-CN"/>
        </w:rPr>
        <w:t>在保障国家指令性计划、政府间框架协议、年度交易计划有效执行前提下，经协商一致可对周</w:t>
      </w:r>
      <w:r>
        <w:rPr>
          <w:rFonts w:hint="eastAsia" w:cs="Times New Roman"/>
          <w:highlight w:val="none"/>
          <w:lang w:val="en-US" w:eastAsia="zh-CN"/>
        </w:rPr>
        <w:t>（多日）</w:t>
      </w:r>
      <w:r>
        <w:rPr>
          <w:rFonts w:hint="default" w:ascii="Times New Roman" w:hAnsi="Times New Roman" w:cs="Times New Roman"/>
          <w:highlight w:val="none"/>
          <w:lang w:val="en-US" w:eastAsia="zh-CN"/>
        </w:rPr>
        <w:t>交易计划的分日电量、分时曲线、价格（或价格机制）等进行调整。如</w:t>
      </w:r>
      <w:r>
        <w:rPr>
          <w:rFonts w:hint="eastAsia" w:cs="Times New Roman"/>
          <w:highlight w:val="none"/>
          <w:lang w:val="en-US" w:eastAsia="zh-CN"/>
        </w:rPr>
        <w:t>经营主体</w:t>
      </w:r>
      <w:r>
        <w:rPr>
          <w:rFonts w:hint="default" w:ascii="Times New Roman" w:hAnsi="Times New Roman" w:cs="Times New Roman"/>
          <w:highlight w:val="none"/>
          <w:lang w:val="en-US" w:eastAsia="zh-CN"/>
        </w:rPr>
        <w:t>在周（多日）交易中未</w:t>
      </w:r>
      <w:r>
        <w:rPr>
          <w:rFonts w:hint="default" w:ascii="Times New Roman" w:hAnsi="Times New Roman" w:eastAsia="仿宋_GB2312" w:cs="Times New Roman"/>
          <w:b w:val="0"/>
          <w:bCs w:val="0"/>
          <w:kern w:val="2"/>
          <w:sz w:val="30"/>
          <w:szCs w:val="22"/>
          <w:highlight w:val="none"/>
          <w:u w:val="none"/>
          <w:lang w:val="en-US" w:eastAsia="zh-CN" w:bidi="ar"/>
        </w:rPr>
        <w:t>对调整意见达成一致并成功申报</w:t>
      </w:r>
      <w:r>
        <w:rPr>
          <w:rFonts w:hint="default" w:ascii="Times New Roman" w:hAnsi="Times New Roman" w:cs="Times New Roman"/>
          <w:highlight w:val="none"/>
          <w:lang w:val="en-US" w:eastAsia="zh-CN"/>
        </w:rPr>
        <w:t>，</w:t>
      </w:r>
      <w:r>
        <w:rPr>
          <w:rFonts w:hint="default" w:ascii="Times New Roman" w:hAnsi="Times New Roman" w:cs="Times New Roman"/>
          <w:color w:val="auto"/>
          <w:highlight w:val="none"/>
          <w:lang w:val="en-US" w:eastAsia="zh-CN"/>
        </w:rPr>
        <w:t>则按照月度交易结果汇总相关交易计划。</w:t>
      </w:r>
      <w:r>
        <w:rPr>
          <w:rFonts w:hint="default" w:ascii="Times New Roman" w:hAnsi="Times New Roman" w:cs="Times New Roman"/>
          <w:color w:val="auto"/>
          <w:highlight w:val="none"/>
        </w:rPr>
        <w:t>周</w:t>
      </w:r>
      <w:r>
        <w:rPr>
          <w:rFonts w:hint="eastAsia" w:cs="Times New Roman"/>
          <w:color w:val="auto"/>
          <w:highlight w:val="none"/>
          <w:lang w:eastAsia="zh-CN"/>
        </w:rPr>
        <w:t>（多日）</w:t>
      </w:r>
      <w:r>
        <w:rPr>
          <w:rFonts w:hint="default" w:ascii="Times New Roman" w:hAnsi="Times New Roman" w:cs="Times New Roman"/>
          <w:color w:val="auto"/>
          <w:highlight w:val="none"/>
        </w:rPr>
        <w:t>计划明确各笔交易的周分日电量、日分时曲线、成交价格（或价格机制）。</w:t>
      </w:r>
    </w:p>
    <w:p>
      <w:pPr>
        <w:overflowPunct w:val="0"/>
        <w:snapToGrid w:val="0"/>
        <w:spacing w:line="560" w:lineRule="exact"/>
        <w:ind w:firstLine="600"/>
        <w:rPr>
          <w:rFonts w:hint="default" w:ascii="Times New Roman" w:hAnsi="Times New Roman" w:cs="Times New Roman"/>
          <w:color w:val="auto"/>
          <w:highlight w:val="none"/>
        </w:rPr>
      </w:pPr>
      <w:r>
        <w:rPr>
          <w:rFonts w:hint="default" w:ascii="Times New Roman" w:hAnsi="Times New Roman" w:cs="Times New Roman"/>
          <w:color w:val="auto"/>
          <w:highlight w:val="none"/>
        </w:rPr>
        <w:t>通过周</w:t>
      </w:r>
      <w:r>
        <w:rPr>
          <w:rFonts w:hint="eastAsia" w:cs="Times New Roman"/>
          <w:color w:val="auto"/>
          <w:highlight w:val="none"/>
          <w:lang w:eastAsia="zh-CN"/>
        </w:rPr>
        <w:t>及多日</w:t>
      </w:r>
      <w:r>
        <w:rPr>
          <w:rFonts w:hint="default" w:ascii="Times New Roman" w:hAnsi="Times New Roman" w:cs="Times New Roman"/>
          <w:color w:val="auto"/>
          <w:highlight w:val="none"/>
        </w:rPr>
        <w:t>交易形成D日分时计划为最终的D日交易计划</w:t>
      </w:r>
      <w:r>
        <w:rPr>
          <w:color w:val="auto"/>
          <w:highlight w:val="none"/>
        </w:rPr>
        <w:t>，</w:t>
      </w:r>
      <w:r>
        <w:rPr>
          <w:rFonts w:hint="eastAsia"/>
          <w:b w:val="0"/>
          <w:bCs w:val="0"/>
          <w:color w:val="auto"/>
          <w:highlight w:val="none"/>
        </w:rPr>
        <w:t>汇总</w:t>
      </w:r>
      <w:r>
        <w:rPr>
          <w:rFonts w:hint="eastAsia"/>
          <w:b w:val="0"/>
          <w:bCs w:val="0"/>
          <w:color w:val="auto"/>
          <w:highlight w:val="none"/>
          <w:lang w:eastAsia="zh-CN"/>
        </w:rPr>
        <w:t>跨区跨省</w:t>
      </w:r>
      <w:r>
        <w:rPr>
          <w:rFonts w:hint="eastAsia"/>
          <w:b w:val="0"/>
          <w:bCs w:val="0"/>
          <w:color w:val="auto"/>
          <w:highlight w:val="none"/>
        </w:rPr>
        <w:t>所有送电类别</w:t>
      </w:r>
      <w:r>
        <w:rPr>
          <w:rFonts w:hint="eastAsia"/>
          <w:b w:val="0"/>
          <w:bCs w:val="0"/>
          <w:color w:val="auto"/>
          <w:highlight w:val="none"/>
          <w:lang w:eastAsia="zh-CN"/>
        </w:rPr>
        <w:t>交易计划</w:t>
      </w:r>
      <w:r>
        <w:rPr>
          <w:rFonts w:hint="eastAsia"/>
          <w:b w:val="0"/>
          <w:bCs w:val="0"/>
          <w:color w:val="auto"/>
          <w:highlight w:val="none"/>
        </w:rPr>
        <w:t>后，</w:t>
      </w:r>
      <w:r>
        <w:rPr>
          <w:rFonts w:hint="default" w:ascii="Times New Roman" w:hAnsi="Times New Roman" w:cs="Times New Roman"/>
          <w:color w:val="auto"/>
          <w:highlight w:val="none"/>
        </w:rPr>
        <w:t>提交调度机构，并作为开展结算的依据。在未开展周交易前，仍以月度交易与月内临时交易形成的月度计划（含峰平谷分时曲线）作为月度结算依据。</w:t>
      </w:r>
    </w:p>
    <w:p>
      <w:pPr>
        <w:overflowPunct w:val="0"/>
        <w:snapToGrid w:val="0"/>
        <w:spacing w:line="560" w:lineRule="exact"/>
        <w:ind w:firstLine="600"/>
        <w:rPr>
          <w:rFonts w:hint="default" w:ascii="Times New Roman" w:hAnsi="Times New Roman" w:eastAsia="仿宋_GB2312" w:cs="Times New Roman"/>
          <w:highlight w:val="none"/>
          <w:u w:val="none"/>
          <w:lang w:val="en-US" w:eastAsia="zh-CN" w:bidi="ar"/>
        </w:rPr>
      </w:pPr>
      <w:r>
        <w:rPr>
          <w:rFonts w:hint="eastAsia" w:cs="Times New Roman"/>
          <w:color w:val="auto"/>
          <w:highlight w:val="none"/>
          <w:u w:val="none"/>
          <w:lang w:eastAsia="zh-CN" w:bidi="ar"/>
        </w:rPr>
        <w:t>具备条件时，广州电力交易中心可根据各方</w:t>
      </w:r>
      <w:r>
        <w:rPr>
          <w:rFonts w:hint="eastAsia" w:cs="Times New Roman"/>
          <w:highlight w:val="none"/>
          <w:u w:val="none"/>
          <w:lang w:eastAsia="zh-CN" w:bidi="ar"/>
        </w:rPr>
        <w:t>认可的调整机制优化调整年度、月度、周及多日交易计划，以及</w:t>
      </w:r>
      <w:r>
        <w:rPr>
          <w:rFonts w:hint="eastAsia" w:cs="Times New Roman"/>
          <w:highlight w:val="none"/>
          <w:u w:val="none"/>
          <w:lang w:val="en-US" w:eastAsia="zh-CN" w:bidi="ar"/>
        </w:rPr>
        <w:t>D日分时计划。</w:t>
      </w:r>
    </w:p>
    <w:p>
      <w:pPr>
        <w:overflowPunct w:val="0"/>
        <w:snapToGrid w:val="0"/>
        <w:spacing w:line="560" w:lineRule="exact"/>
        <w:ind w:firstLine="600"/>
        <w:rPr>
          <w:rFonts w:hint="default" w:ascii="Times New Roman" w:hAnsi="Times New Roman" w:eastAsia="仿宋_GB2312" w:cs="Times New Roman"/>
          <w:highlight w:val="none"/>
          <w:lang w:eastAsia="zh-CN"/>
        </w:rPr>
      </w:pPr>
      <w:r>
        <w:rPr>
          <w:rFonts w:hint="default" w:ascii="Times New Roman" w:hAnsi="Times New Roman" w:cs="Times New Roman"/>
          <w:highlight w:val="none"/>
        </w:rPr>
        <w:t>网对网</w:t>
      </w:r>
      <w:r>
        <w:rPr>
          <w:rFonts w:hint="eastAsia" w:cs="Times New Roman"/>
          <w:highlight w:val="none"/>
          <w:lang w:eastAsia="zh-CN"/>
        </w:rPr>
        <w:t>跨省跨区优先发电规模计划</w:t>
      </w:r>
      <w:r>
        <w:rPr>
          <w:rFonts w:hint="default" w:ascii="Times New Roman" w:hAnsi="Times New Roman" w:cs="Times New Roman"/>
          <w:highlight w:val="none"/>
        </w:rPr>
        <w:t>电量由送端省份分解落实到电厂</w:t>
      </w:r>
      <w:r>
        <w:rPr>
          <w:rFonts w:hint="default" w:ascii="Times New Roman" w:hAnsi="Times New Roman" w:cs="Times New Roman"/>
          <w:highlight w:val="none"/>
          <w:lang w:eastAsia="zh-CN"/>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电力调度机构应依法依规落实电力市场交易结果，根据广州电力交易中心发布的交易计划，编制跨区跨省送受电调度计划和省内发电调度计划，在满足电网安全的前提下保障交易计划执行。</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因实际供需发生较大变化、电力系统遭受自然灾害、主设备故障停运等紧急情况、发生输电阻塞导致交易计划无法执行时，南网总调应及时通知广州电力交易中心，优先通过合同交易等方式进行调整。电力调度机构可以在交易计划基础上按需调用，并做好记录，包括调整原因、调整电量和起止时间，并按规定提供给广州电力交易中心进行披露。</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39" w:name="_Toc22461"/>
      <w:bookmarkStart w:id="40" w:name="_Toc88663437"/>
      <w:r>
        <w:rPr>
          <w:rFonts w:hint="default" w:ascii="Times New Roman" w:hAnsi="Times New Roman" w:eastAsia="黑体" w:cs="Times New Roman"/>
          <w:bCs w:val="0"/>
          <w:kern w:val="2"/>
          <w:sz w:val="30"/>
          <w:szCs w:val="30"/>
          <w:highlight w:val="none"/>
        </w:rPr>
        <w:t>计量</w:t>
      </w:r>
      <w:bookmarkEnd w:id="39"/>
      <w:bookmarkEnd w:id="40"/>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电网企业应根据市场运行需要为</w:t>
      </w:r>
      <w:r>
        <w:rPr>
          <w:rFonts w:hint="eastAsia" w:cs="Times New Roman"/>
          <w:szCs w:val="30"/>
          <w:highlight w:val="none"/>
          <w:lang w:eastAsia="zh-CN"/>
        </w:rPr>
        <w:t>经营主体</w:t>
      </w:r>
      <w:r>
        <w:rPr>
          <w:rFonts w:hint="default" w:ascii="Times New Roman" w:hAnsi="Times New Roman" w:cs="Times New Roman"/>
          <w:szCs w:val="30"/>
          <w:highlight w:val="none"/>
        </w:rPr>
        <w:t>安装符合技术规范的计量装置;南方区域跨区跨省送电相关的计量装置原则上设置在产权分界点，产权分界点无法安装计量装置或涉及南方区域外</w:t>
      </w:r>
      <w:r>
        <w:rPr>
          <w:rFonts w:hint="eastAsia" w:cs="Times New Roman"/>
          <w:szCs w:val="30"/>
          <w:highlight w:val="none"/>
          <w:lang w:eastAsia="zh-CN"/>
        </w:rPr>
        <w:t>经营主体</w:t>
      </w:r>
      <w:r>
        <w:rPr>
          <w:rFonts w:hint="default" w:ascii="Times New Roman" w:hAnsi="Times New Roman" w:cs="Times New Roman"/>
          <w:szCs w:val="30"/>
          <w:highlight w:val="none"/>
        </w:rPr>
        <w:t>的，由交易各方协商确定，同时考虑相应的变（线）损。电网企业应在跨区跨省输电线路两端安装符合技术规范的计量装置，跨区跨省交易均应明确其结算对应计量点。</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计量周期和抄表时间应当保证最小交易周期的结算需要，保证计量数据准确、完整。</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发电企业、跨区跨省交易送受端计量点应当安装相同型号、相同规格、相同精度的主、副电能表各一套，主、副表应当有明确标志，以主表计量数据作为结算依据，副表计量数据作为参照，当确认主表故障后，副表计量数据替代主表计量数据作为电量结算依据。</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多台发电机组共用计量点且无法拆分，各发电机组需分别结算时，按照每台机组的实际发电量等比例计算各自上网电量。对于风电、光伏发电企业处于相同运行状态的不同项目批次共用计量点的机组，可按照额定容量比例计算各自上网电量。</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电网企业应当按照电力市场结算要求定期抄录每日0:00至24:00省间计量关口计量点、发电企业（机组）和电力用户计量装置数据，并将计量数据提交电力交易机构。</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对计量数据存在疑义时，由具有相应资质的电能计量检测机构确认并出具报告，由电网企业组织相关市场成员协商解决。</w:t>
      </w:r>
    </w:p>
    <w:p>
      <w:pPr>
        <w:numPr>
          <w:ilvl w:val="0"/>
          <w:numId w:val="1"/>
        </w:numPr>
        <w:overflowPunct w:val="0"/>
        <w:snapToGrid w:val="0"/>
        <w:spacing w:line="560" w:lineRule="exact"/>
        <w:ind w:firstLineChars="0"/>
        <w:rPr>
          <w:rFonts w:hint="default" w:ascii="Times New Roman" w:hAnsi="Times New Roman" w:cs="Times New Roman"/>
          <w:szCs w:val="30"/>
          <w:highlight w:val="none"/>
          <w:lang w:val="zh-CN"/>
        </w:rPr>
      </w:pPr>
      <w:r>
        <w:rPr>
          <w:rFonts w:hint="default" w:ascii="Times New Roman" w:hAnsi="Times New Roman" w:cs="Times New Roman"/>
          <w:szCs w:val="30"/>
          <w:highlight w:val="none"/>
        </w:rPr>
        <w:t>跨区跨省送电相关的</w:t>
      </w:r>
      <w:r>
        <w:rPr>
          <w:rFonts w:hint="default" w:ascii="Times New Roman" w:hAnsi="Times New Roman" w:cs="Times New Roman"/>
          <w:szCs w:val="30"/>
          <w:highlight w:val="none"/>
          <w:lang w:val="zh-CN"/>
        </w:rPr>
        <w:t>计量关口新增或变更</w:t>
      </w:r>
      <w:r>
        <w:rPr>
          <w:rFonts w:hint="default" w:ascii="Times New Roman" w:hAnsi="Times New Roman" w:cs="Times New Roman"/>
          <w:szCs w:val="30"/>
          <w:highlight w:val="none"/>
        </w:rPr>
        <w:t>等调整后</w:t>
      </w:r>
      <w:r>
        <w:rPr>
          <w:rFonts w:hint="default" w:ascii="Times New Roman" w:hAnsi="Times New Roman" w:cs="Times New Roman"/>
          <w:szCs w:val="30"/>
          <w:highlight w:val="none"/>
          <w:lang w:val="zh-CN"/>
        </w:rPr>
        <w:t>，</w:t>
      </w:r>
      <w:r>
        <w:rPr>
          <w:rFonts w:hint="default" w:ascii="Times New Roman" w:hAnsi="Times New Roman" w:cs="Times New Roman"/>
          <w:szCs w:val="30"/>
          <w:highlight w:val="none"/>
        </w:rPr>
        <w:t>电网企业应及时将</w:t>
      </w:r>
      <w:r>
        <w:rPr>
          <w:rFonts w:hint="default" w:ascii="Times New Roman" w:hAnsi="Times New Roman" w:cs="Times New Roman"/>
          <w:szCs w:val="30"/>
          <w:highlight w:val="none"/>
          <w:lang w:val="en-US" w:eastAsia="zh-CN"/>
        </w:rPr>
        <w:t>计量关口</w:t>
      </w:r>
      <w:r>
        <w:rPr>
          <w:rFonts w:hint="default" w:ascii="Times New Roman" w:hAnsi="Times New Roman" w:cs="Times New Roman"/>
          <w:szCs w:val="30"/>
          <w:highlight w:val="none"/>
        </w:rPr>
        <w:t>信息同步至</w:t>
      </w:r>
      <w:r>
        <w:rPr>
          <w:rFonts w:hint="default" w:ascii="Times New Roman" w:hAnsi="Times New Roman" w:cs="Times New Roman"/>
          <w:szCs w:val="30"/>
          <w:highlight w:val="none"/>
          <w:lang w:val="zh-CN"/>
        </w:rPr>
        <w:t>广州电力交易中心。</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广州电力交易中心、南网总调应建立信息交换机制，调度机构按照交易规则要求，向广州电力交易中心准确及时提供市场交易需要的可公开数据。</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41" w:name="_Toc88663438"/>
      <w:bookmarkStart w:id="42" w:name="_Toc30491"/>
      <w:r>
        <w:rPr>
          <w:rFonts w:hint="default" w:ascii="Times New Roman" w:hAnsi="Times New Roman" w:eastAsia="黑体" w:cs="Times New Roman"/>
          <w:bCs w:val="0"/>
          <w:kern w:val="2"/>
          <w:sz w:val="30"/>
          <w:szCs w:val="30"/>
          <w:highlight w:val="none"/>
        </w:rPr>
        <w:t>偏差电量处理</w:t>
      </w:r>
      <w:bookmarkEnd w:id="41"/>
      <w:bookmarkEnd w:id="42"/>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default" w:ascii="Times New Roman" w:hAnsi="Times New Roman" w:cs="Times New Roman"/>
          <w:szCs w:val="30"/>
          <w:highlight w:val="none"/>
        </w:rPr>
        <w:t>南方区域跨区跨省偏差电量包括计划偏差和执行偏差。计划偏差是指</w:t>
      </w:r>
      <w:r>
        <w:rPr>
          <w:rFonts w:hint="eastAsia" w:cs="Times New Roman"/>
          <w:szCs w:val="30"/>
          <w:highlight w:val="none"/>
          <w:lang w:eastAsia="zh-CN"/>
        </w:rPr>
        <w:t>分时</w:t>
      </w:r>
      <w:r>
        <w:rPr>
          <w:rFonts w:hint="default" w:ascii="Times New Roman" w:hAnsi="Times New Roman" w:cs="Times New Roman"/>
          <w:szCs w:val="30"/>
          <w:highlight w:val="none"/>
        </w:rPr>
        <w:t>调度计划曲线与</w:t>
      </w:r>
      <w:r>
        <w:rPr>
          <w:rFonts w:hint="eastAsia" w:cs="Times New Roman"/>
          <w:szCs w:val="30"/>
          <w:highlight w:val="none"/>
          <w:lang w:eastAsia="zh-CN"/>
        </w:rPr>
        <w:t>分时</w:t>
      </w:r>
      <w:r>
        <w:rPr>
          <w:rFonts w:hint="default" w:ascii="Times New Roman" w:hAnsi="Times New Roman" w:cs="Times New Roman"/>
          <w:szCs w:val="30"/>
          <w:highlight w:val="none"/>
        </w:rPr>
        <w:t>交易计划曲线的偏差，执行偏差是指</w:t>
      </w:r>
      <w:r>
        <w:rPr>
          <w:rFonts w:hint="eastAsia" w:cs="Times New Roman"/>
          <w:szCs w:val="30"/>
          <w:highlight w:val="none"/>
          <w:lang w:eastAsia="zh-CN"/>
        </w:rPr>
        <w:t>分时</w:t>
      </w:r>
      <w:r>
        <w:rPr>
          <w:rFonts w:hint="default" w:ascii="Times New Roman" w:hAnsi="Times New Roman" w:cs="Times New Roman"/>
          <w:szCs w:val="30"/>
          <w:highlight w:val="none"/>
        </w:rPr>
        <w:t>计量电量与</w:t>
      </w:r>
      <w:r>
        <w:rPr>
          <w:rFonts w:hint="eastAsia" w:cs="Times New Roman"/>
          <w:szCs w:val="30"/>
          <w:highlight w:val="none"/>
          <w:lang w:eastAsia="zh-CN"/>
        </w:rPr>
        <w:t>分时</w:t>
      </w:r>
      <w:r>
        <w:rPr>
          <w:rFonts w:hint="default" w:ascii="Times New Roman" w:hAnsi="Times New Roman" w:cs="Times New Roman"/>
          <w:szCs w:val="30"/>
          <w:highlight w:val="none"/>
        </w:rPr>
        <w:t>调度计划曲线的偏差。</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允许购售双方在协商一致的前提下，在交易计划执行前进行动态调整，减少偏差电量。</w:t>
      </w:r>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default" w:ascii="Times New Roman" w:hAnsi="Times New Roman" w:cs="Times New Roman"/>
          <w:szCs w:val="30"/>
          <w:highlight w:val="none"/>
        </w:rPr>
        <w:t>调度机构应</w:t>
      </w:r>
      <w:r>
        <w:rPr>
          <w:rFonts w:hint="eastAsia" w:cs="Times New Roman"/>
          <w:szCs w:val="30"/>
          <w:highlight w:val="none"/>
          <w:lang w:eastAsia="zh-CN"/>
        </w:rPr>
        <w:t>对于偏差大于</w:t>
      </w:r>
      <w:r>
        <w:rPr>
          <w:rFonts w:hint="eastAsia" w:cs="Times New Roman"/>
          <w:szCs w:val="30"/>
          <w:highlight w:val="none"/>
          <w:lang w:val="en-US" w:eastAsia="zh-CN"/>
        </w:rPr>
        <w:t>3%的情况</w:t>
      </w:r>
      <w:r>
        <w:rPr>
          <w:rFonts w:hint="default" w:cs="Times New Roman"/>
          <w:szCs w:val="30"/>
          <w:highlight w:val="none"/>
          <w:lang w:val="en-US" w:eastAsia="zh-CN"/>
        </w:rPr>
        <w:t>（不含</w:t>
      </w:r>
      <w:r>
        <w:rPr>
          <w:rFonts w:hint="eastAsia" w:cs="Times New Roman"/>
          <w:b w:val="0"/>
          <w:bCs w:val="0"/>
          <w:color w:val="000000"/>
          <w:kern w:val="2"/>
          <w:sz w:val="30"/>
          <w:szCs w:val="30"/>
          <w:lang w:val="en-US" w:eastAsia="zh-CN" w:bidi="ar-SA"/>
        </w:rPr>
        <w:t>，该送电类别送端分时交易计划月度汇总的3%，下同</w:t>
      </w:r>
      <w:r>
        <w:rPr>
          <w:rFonts w:hint="default" w:cs="Times New Roman"/>
          <w:szCs w:val="30"/>
          <w:highlight w:val="none"/>
          <w:lang w:val="en-US" w:eastAsia="zh-CN"/>
        </w:rPr>
        <w:t>）</w:t>
      </w:r>
      <w:r>
        <w:rPr>
          <w:rFonts w:hint="default" w:ascii="Times New Roman" w:hAnsi="Times New Roman" w:cs="Times New Roman"/>
          <w:szCs w:val="30"/>
          <w:highlight w:val="none"/>
        </w:rPr>
        <w:t>出具计划偏差说明，包括偏差电量、起止时间以及偏差原因。</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跨区跨省偏差电量</w:t>
      </w:r>
      <w:r>
        <w:rPr>
          <w:rFonts w:hint="eastAsia" w:cs="Times New Roman"/>
          <w:szCs w:val="30"/>
          <w:highlight w:val="none"/>
          <w:lang w:eastAsia="zh-CN"/>
        </w:rPr>
        <w:t>为负偏差时</w:t>
      </w:r>
      <w:r>
        <w:rPr>
          <w:rFonts w:hint="default" w:ascii="Times New Roman" w:hAnsi="Times New Roman" w:cs="Times New Roman"/>
          <w:szCs w:val="30"/>
          <w:highlight w:val="none"/>
        </w:rPr>
        <w:t>，若导致</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无法足额执行时，偏差电量按照</w:t>
      </w:r>
      <w:r>
        <w:rPr>
          <w:rFonts w:hint="eastAsia" w:cs="Times New Roman"/>
          <w:szCs w:val="30"/>
          <w:highlight w:val="none"/>
          <w:lang w:val="en-US" w:eastAsia="zh-CN"/>
        </w:rPr>
        <w:t>交易</w:t>
      </w:r>
      <w:r>
        <w:rPr>
          <w:rFonts w:hint="default" w:ascii="Times New Roman" w:hAnsi="Times New Roman" w:cs="Times New Roman"/>
          <w:szCs w:val="30"/>
          <w:highlight w:val="none"/>
        </w:rPr>
        <w:t>合同执行</w:t>
      </w:r>
      <w:r>
        <w:rPr>
          <w:rFonts w:hint="default" w:ascii="Times New Roman" w:hAnsi="Times New Roman" w:cs="Times New Roman"/>
          <w:szCs w:val="30"/>
          <w:highlight w:val="none"/>
          <w:lang w:eastAsia="zh-CN"/>
        </w:rPr>
        <w:t>，</w:t>
      </w:r>
      <w:r>
        <w:rPr>
          <w:rFonts w:hint="eastAsia" w:cs="Times New Roman"/>
          <w:szCs w:val="30"/>
          <w:highlight w:val="none"/>
          <w:lang w:eastAsia="zh-CN"/>
        </w:rPr>
        <w:t>通过交易方式</w:t>
      </w:r>
      <w:r>
        <w:rPr>
          <w:rFonts w:hint="default" w:ascii="Times New Roman" w:hAnsi="Times New Roman" w:cs="Times New Roman"/>
          <w:szCs w:val="30"/>
          <w:highlight w:val="none"/>
        </w:rPr>
        <w:t>根据</w:t>
      </w:r>
      <w:r>
        <w:rPr>
          <w:rFonts w:hint="eastAsia" w:cs="Times New Roman"/>
          <w:szCs w:val="30"/>
          <w:highlight w:val="none"/>
          <w:lang w:eastAsia="zh-CN"/>
        </w:rPr>
        <w:t>经营主体</w:t>
      </w:r>
      <w:r>
        <w:rPr>
          <w:rFonts w:hint="default" w:ascii="Times New Roman" w:hAnsi="Times New Roman" w:cs="Times New Roman"/>
          <w:szCs w:val="30"/>
          <w:highlight w:val="none"/>
        </w:rPr>
        <w:t>协商一致意见进行滚动调整</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若</w:t>
      </w:r>
      <w:r>
        <w:rPr>
          <w:rFonts w:hint="default" w:ascii="Times New Roman" w:hAnsi="Times New Roman" w:cs="Times New Roman"/>
          <w:szCs w:val="30"/>
          <w:highlight w:val="none"/>
        </w:rPr>
        <w:t>负偏差电量导致增量电量无法足额执行时，按实际分割电量结算，不再滚动调整</w:t>
      </w:r>
      <w:r>
        <w:rPr>
          <w:rFonts w:hint="eastAsia" w:cs="Times New Roman"/>
          <w:szCs w:val="30"/>
          <w:highlight w:val="none"/>
          <w:lang w:eastAsia="zh-CN"/>
        </w:rPr>
        <w:t>，按照购售电双方交易合同约定或协商确定的违约责任考核机制执行</w:t>
      </w:r>
      <w:r>
        <w:rPr>
          <w:rFonts w:hint="default" w:ascii="Times New Roman" w:hAnsi="Times New Roman" w:cs="Times New Roman"/>
          <w:szCs w:val="30"/>
          <w:highlight w:val="none"/>
        </w:rPr>
        <w:t>。</w:t>
      </w:r>
    </w:p>
    <w:p>
      <w:pPr>
        <w:numPr>
          <w:ilvl w:val="0"/>
          <w:numId w:val="1"/>
        </w:numPr>
        <w:overflowPunct w:val="0"/>
        <w:snapToGrid w:val="0"/>
        <w:spacing w:line="560" w:lineRule="exact"/>
        <w:ind w:firstLineChars="0"/>
        <w:rPr>
          <w:rFonts w:hint="default" w:ascii="Times New Roman" w:hAnsi="Times New Roman" w:cs="Times New Roman"/>
          <w:highlight w:val="none"/>
        </w:rPr>
      </w:pPr>
      <w:r>
        <w:rPr>
          <w:rFonts w:hint="default" w:ascii="Times New Roman" w:hAnsi="Times New Roman" w:cs="Times New Roman"/>
          <w:szCs w:val="30"/>
          <w:highlight w:val="none"/>
        </w:rPr>
        <w:t>出现送电正偏差电量时，</w:t>
      </w:r>
      <w:r>
        <w:rPr>
          <w:rFonts w:hint="eastAsia" w:cs="Times New Roman"/>
          <w:szCs w:val="30"/>
          <w:highlight w:val="none"/>
          <w:lang w:eastAsia="zh-CN"/>
        </w:rPr>
        <w:t>对</w:t>
      </w:r>
      <w:r>
        <w:rPr>
          <w:rFonts w:hint="default" w:ascii="Times New Roman" w:hAnsi="Times New Roman" w:cs="Times New Roman"/>
          <w:szCs w:val="30"/>
          <w:highlight w:val="none"/>
        </w:rPr>
        <w:t>计划偏差分别按相应价格机制结算</w:t>
      </w:r>
      <w:r>
        <w:rPr>
          <w:rFonts w:hint="eastAsia" w:cs="Times New Roman"/>
          <w:szCs w:val="30"/>
          <w:highlight w:val="none"/>
          <w:lang w:eastAsia="zh-CN"/>
        </w:rPr>
        <w:t>。</w:t>
      </w:r>
      <w:r>
        <w:rPr>
          <w:rFonts w:hint="default" w:ascii="Times New Roman" w:hAnsi="Times New Roman" w:cs="Times New Roman"/>
          <w:szCs w:val="30"/>
          <w:highlight w:val="none"/>
        </w:rPr>
        <w:t>梯级流域因防洪、灌溉、下游用水需求变化导致出库流量变化引起的电力曲线偏差，经相关部门认定后，可不执行偏差结算</w:t>
      </w:r>
      <w:r>
        <w:rPr>
          <w:rFonts w:hint="eastAsia" w:cs="Times New Roman"/>
          <w:szCs w:val="30"/>
          <w:highlight w:val="none"/>
          <w:lang w:eastAsia="zh-CN"/>
        </w:rPr>
        <w:t>，按交易价格开展结算</w:t>
      </w:r>
      <w:r>
        <w:rPr>
          <w:rFonts w:hint="default" w:ascii="Times New Roman" w:hAnsi="Times New Roman" w:cs="Times New Roman"/>
          <w:szCs w:val="30"/>
          <w:highlight w:val="none"/>
        </w:rPr>
        <w:t>。其中，预招标</w:t>
      </w:r>
      <w:r>
        <w:rPr>
          <w:rFonts w:hint="eastAsia" w:ascii="Times New Roman" w:hAnsi="Times New Roman" w:cs="Times New Roman"/>
          <w:szCs w:val="30"/>
          <w:highlight w:val="none"/>
          <w:lang w:eastAsia="zh-CN"/>
        </w:rPr>
        <w:t>、应急调度</w:t>
      </w:r>
      <w:r>
        <w:rPr>
          <w:rFonts w:hint="default" w:ascii="Times New Roman" w:hAnsi="Times New Roman" w:cs="Times New Roman"/>
          <w:szCs w:val="30"/>
          <w:highlight w:val="none"/>
        </w:rPr>
        <w:t>电量根据调度出具的实际调用情况和</w:t>
      </w:r>
      <w:r>
        <w:rPr>
          <w:rFonts w:hint="eastAsia" w:ascii="Times New Roman" w:hAnsi="Times New Roman" w:cs="Times New Roman"/>
          <w:szCs w:val="30"/>
          <w:highlight w:val="none"/>
          <w:lang w:eastAsia="zh-CN"/>
        </w:rPr>
        <w:t>相应</w:t>
      </w:r>
      <w:r>
        <w:rPr>
          <w:rFonts w:hint="default" w:ascii="Times New Roman" w:hAnsi="Times New Roman" w:cs="Times New Roman"/>
          <w:szCs w:val="30"/>
          <w:highlight w:val="none"/>
        </w:rPr>
        <w:t>的价格结算</w:t>
      </w:r>
      <w:r>
        <w:rPr>
          <w:rFonts w:hint="eastAsia" w:ascii="Times New Roman" w:hAnsi="Times New Roman" w:cs="Times New Roman"/>
          <w:szCs w:val="30"/>
          <w:highlight w:val="none"/>
          <w:lang w:eastAsia="zh-CN"/>
        </w:rPr>
        <w:t>。</w:t>
      </w:r>
      <w:r>
        <w:rPr>
          <w:rFonts w:hint="default" w:ascii="Times New Roman" w:hAnsi="Times New Roman" w:cs="Times New Roman"/>
          <w:szCs w:val="30"/>
          <w:highlight w:val="none"/>
        </w:rPr>
        <w:t>预招标</w:t>
      </w:r>
      <w:r>
        <w:rPr>
          <w:rFonts w:hint="eastAsia" w:ascii="Times New Roman" w:hAnsi="Times New Roman" w:cs="Times New Roman"/>
          <w:szCs w:val="30"/>
          <w:highlight w:val="none"/>
          <w:lang w:eastAsia="zh-CN"/>
        </w:rPr>
        <w:t>、应急调度</w:t>
      </w:r>
      <w:r>
        <w:rPr>
          <w:rFonts w:hint="default" w:ascii="Times New Roman" w:hAnsi="Times New Roman" w:cs="Times New Roman"/>
          <w:szCs w:val="30"/>
          <w:highlight w:val="none"/>
        </w:rPr>
        <w:t>电量外的计划偏差，若购售电双方已在</w:t>
      </w:r>
      <w:r>
        <w:rPr>
          <w:rFonts w:hint="eastAsia" w:cs="Times New Roman"/>
          <w:szCs w:val="30"/>
          <w:highlight w:val="none"/>
          <w:lang w:eastAsia="zh-CN"/>
        </w:rPr>
        <w:t>交易</w:t>
      </w:r>
      <w:r>
        <w:rPr>
          <w:rFonts w:hint="default" w:ascii="Times New Roman" w:hAnsi="Times New Roman" w:cs="Times New Roman"/>
          <w:szCs w:val="30"/>
          <w:highlight w:val="none"/>
        </w:rPr>
        <w:t>合同约定、或协商一致的偏差价格或价格机制，按照约定价格或价格机制结算，支持双方根据送端或受端省市场价格形成偏差电量结算价格。若双方协商不一致情况下</w:t>
      </w:r>
      <w:r>
        <w:rPr>
          <w:rFonts w:hint="eastAsia" w:ascii="Times New Roman" w:hAnsi="Times New Roman" w:cs="Times New Roman"/>
          <w:szCs w:val="30"/>
          <w:highlight w:val="none"/>
          <w:lang w:eastAsia="zh-CN"/>
        </w:rPr>
        <w:t>：</w:t>
      </w:r>
    </w:p>
    <w:p>
      <w:pPr>
        <w:numPr>
          <w:ilvl w:val="-1"/>
          <w:numId w:val="0"/>
        </w:numPr>
        <w:overflowPunct w:val="0"/>
        <w:snapToGrid w:val="0"/>
        <w:spacing w:line="560" w:lineRule="exact"/>
        <w:ind w:left="0" w:firstLine="600" w:firstLineChars="200"/>
        <w:rPr>
          <w:rFonts w:hint="default" w:ascii="Times New Roman" w:hAnsi="Times New Roman" w:cs="Times New Roman"/>
          <w:highlight w:val="none"/>
        </w:rPr>
      </w:pPr>
      <w:r>
        <w:rPr>
          <w:rFonts w:hint="default" w:ascii="Times New Roman" w:hAnsi="Times New Roman" w:cs="Times New Roman"/>
          <w:szCs w:val="30"/>
          <w:highlight w:val="none"/>
        </w:rPr>
        <w:t>根据调度机构出具的偏差说明，分别按相应价格机制结算：</w:t>
      </w:r>
    </w:p>
    <w:p>
      <w:pPr>
        <w:numPr>
          <w:ilvl w:val="0"/>
          <w:numId w:val="0"/>
        </w:numPr>
        <w:overflowPunct w:val="0"/>
        <w:snapToGrid w:val="0"/>
        <w:spacing w:line="560" w:lineRule="exact"/>
        <w:ind w:firstLine="600"/>
        <w:jc w:val="left"/>
        <w:rPr>
          <w:rFonts w:hint="eastAsia"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（一）因保障清洁能源消纳导致的偏差电量，价格为：购、售电省区内市场的</w:t>
      </w:r>
      <w:r>
        <w:rPr>
          <w:rFonts w:hint="default" w:ascii="Times New Roman" w:hAnsi="Times New Roman" w:cs="Times New Roman"/>
          <w:szCs w:val="30"/>
          <w:highlight w:val="none"/>
          <w:lang w:val="en-US" w:eastAsia="zh-CN"/>
        </w:rPr>
        <w:t>当</w:t>
      </w:r>
      <w:r>
        <w:rPr>
          <w:rFonts w:hint="default" w:ascii="Times New Roman" w:hAnsi="Times New Roman" w:cs="Times New Roman"/>
          <w:szCs w:val="30"/>
          <w:highlight w:val="none"/>
        </w:rPr>
        <w:t>月度市场交易均价（含年度交易分月、季度交易分月、月度交易等各类交易，不含合同转让交易）折算至交易关口（折算价格不小于零）的算术平均值</w:t>
      </w:r>
      <w:r>
        <w:rPr>
          <w:rFonts w:hint="eastAsia" w:cs="Times New Roman"/>
          <w:szCs w:val="30"/>
          <w:highlight w:val="none"/>
          <w:lang w:eastAsia="zh-CN"/>
        </w:rPr>
        <w:t>。</w:t>
      </w:r>
    </w:p>
    <w:p>
      <w:pPr>
        <w:numPr>
          <w:ilvl w:val="0"/>
          <w:numId w:val="0"/>
        </w:numPr>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（二）因保障电力有序供应导致的偏差电量，价格为：购电省区燃煤机组基准电价（均含环保电价及其他附加）×K。</w:t>
      </w:r>
      <w:r>
        <w:rPr>
          <w:rFonts w:hint="default" w:ascii="Times New Roman" w:hAnsi="Times New Roman" w:cs="Times New Roman"/>
          <w:color w:val="000000"/>
          <w:szCs w:val="30"/>
          <w:highlight w:val="none"/>
          <w:lang w:eastAsia="zh-CN"/>
        </w:rPr>
        <w:t>K取1+购电省当月实际市场交易价格涨幅</w:t>
      </w:r>
      <w:r>
        <w:rPr>
          <w:rFonts w:hint="default" w:ascii="Times New Roman" w:hAnsi="Times New Roman" w:cs="Times New Roman"/>
          <w:color w:val="000000"/>
          <w:szCs w:val="30"/>
          <w:highlight w:val="none"/>
        </w:rPr>
        <w:t>。</w:t>
      </w:r>
      <w:r>
        <w:rPr>
          <w:rFonts w:hint="default" w:ascii="Times New Roman" w:hAnsi="Times New Roman" w:cs="Times New Roman"/>
          <w:szCs w:val="30"/>
          <w:highlight w:val="none"/>
        </w:rPr>
        <w:t>因保障电力有序供应导致的偏差电量</w:t>
      </w:r>
      <w:r>
        <w:rPr>
          <w:rFonts w:hint="default" w:ascii="Times New Roman" w:hAnsi="Times New Roman" w:cs="Times New Roman"/>
          <w:szCs w:val="30"/>
          <w:highlight w:val="none"/>
          <w:lang w:val="en-US" w:eastAsia="zh-CN"/>
        </w:rPr>
        <w:t>原则上</w:t>
      </w:r>
      <w:r>
        <w:rPr>
          <w:rFonts w:hint="default" w:ascii="Times New Roman" w:hAnsi="Times New Roman" w:cs="Times New Roman"/>
          <w:szCs w:val="30"/>
          <w:highlight w:val="none"/>
        </w:rPr>
        <w:t>在购电省区高峰时段认定。</w:t>
      </w:r>
    </w:p>
    <w:p>
      <w:pPr>
        <w:numPr>
          <w:ilvl w:val="0"/>
          <w:numId w:val="0"/>
        </w:numPr>
        <w:overflowPunct w:val="0"/>
        <w:snapToGrid w:val="0"/>
        <w:spacing w:line="560" w:lineRule="exact"/>
        <w:ind w:firstLine="600"/>
        <w:jc w:val="left"/>
        <w:rPr>
          <w:rFonts w:hint="default" w:ascii="Times New Roman" w:hAnsi="Times New Roman" w:cs="Times New Roman"/>
          <w:szCs w:val="30"/>
          <w:highlight w:val="none"/>
        </w:rPr>
      </w:pPr>
      <w:r>
        <w:rPr>
          <w:rFonts w:hint="default" w:ascii="Times New Roman" w:hAnsi="Times New Roman" w:cs="Times New Roman"/>
          <w:szCs w:val="30"/>
          <w:highlight w:val="none"/>
        </w:rPr>
        <w:t>（三）</w:t>
      </w:r>
      <w:r>
        <w:rPr>
          <w:rFonts w:hint="default" w:ascii="Times New Roman" w:hAnsi="Times New Roman" w:eastAsia="仿宋_GB2312" w:cs="Times New Roman"/>
          <w:b w:val="0"/>
          <w:bCs w:val="0"/>
          <w:color w:val="000000"/>
          <w:kern w:val="2"/>
          <w:sz w:val="30"/>
          <w:szCs w:val="30"/>
          <w:highlight w:val="none"/>
          <w:lang w:eastAsia="zh-CN" w:bidi="ar-SA"/>
        </w:rPr>
        <w:t>由南网总调出具说明认定</w:t>
      </w:r>
      <w:r>
        <w:rPr>
          <w:rFonts w:hint="eastAsia" w:cs="Times New Roman"/>
          <w:b w:val="0"/>
          <w:bCs w:val="0"/>
          <w:color w:val="000000"/>
          <w:kern w:val="2"/>
          <w:sz w:val="30"/>
          <w:szCs w:val="30"/>
          <w:highlight w:val="none"/>
          <w:lang w:eastAsia="zh-CN" w:bidi="ar-SA"/>
        </w:rPr>
        <w:t>为</w:t>
      </w:r>
      <w:r>
        <w:rPr>
          <w:rFonts w:hint="default" w:ascii="Times New Roman" w:hAnsi="Times New Roman" w:eastAsia="仿宋_GB2312" w:cs="Times New Roman"/>
          <w:b w:val="0"/>
          <w:bCs w:val="0"/>
          <w:color w:val="000000"/>
          <w:kern w:val="2"/>
          <w:sz w:val="30"/>
          <w:szCs w:val="30"/>
          <w:highlight w:val="none"/>
          <w:lang w:val="en-US" w:eastAsia="zh-CN" w:bidi="ar-SA"/>
        </w:rPr>
        <w:t>电网安全等原因导致的</w:t>
      </w:r>
      <w:r>
        <w:rPr>
          <w:rFonts w:hint="eastAsia" w:cs="Times New Roman"/>
          <w:b w:val="0"/>
          <w:bCs w:val="0"/>
          <w:color w:val="000000"/>
          <w:kern w:val="2"/>
          <w:sz w:val="30"/>
          <w:szCs w:val="30"/>
          <w:highlight w:val="none"/>
          <w:lang w:val="en-US" w:eastAsia="zh-CN" w:bidi="ar-SA"/>
        </w:rPr>
        <w:t>正</w:t>
      </w:r>
      <w:r>
        <w:rPr>
          <w:rFonts w:hint="default" w:ascii="Times New Roman" w:hAnsi="Times New Roman" w:eastAsia="仿宋_GB2312" w:cs="Times New Roman"/>
          <w:b w:val="0"/>
          <w:bCs w:val="0"/>
          <w:color w:val="000000"/>
          <w:kern w:val="2"/>
          <w:sz w:val="30"/>
          <w:szCs w:val="30"/>
          <w:highlight w:val="none"/>
          <w:lang w:val="en-US" w:eastAsia="zh-CN" w:bidi="ar-SA"/>
        </w:rPr>
        <w:t>偏差电量</w:t>
      </w:r>
      <w:r>
        <w:rPr>
          <w:rFonts w:hint="eastAsia" w:cs="Times New Roman"/>
          <w:b w:val="0"/>
          <w:bCs w:val="0"/>
          <w:color w:val="000000"/>
          <w:kern w:val="2"/>
          <w:sz w:val="30"/>
          <w:szCs w:val="30"/>
          <w:highlight w:val="none"/>
          <w:lang w:val="en-US" w:eastAsia="zh-CN" w:bidi="ar-SA"/>
        </w:rPr>
        <w:t>，或偏</w:t>
      </w:r>
      <w:r>
        <w:rPr>
          <w:rFonts w:hint="default" w:cs="Times New Roman"/>
          <w:szCs w:val="30"/>
          <w:highlight w:val="none"/>
          <w:lang w:eastAsia="zh-CN"/>
        </w:rPr>
        <w:t>差小于</w:t>
      </w:r>
      <w:r>
        <w:rPr>
          <w:rFonts w:hint="default" w:cs="Times New Roman"/>
          <w:szCs w:val="30"/>
          <w:highlight w:val="none"/>
          <w:lang w:val="en-US" w:eastAsia="zh-CN"/>
        </w:rPr>
        <w:t>3%</w:t>
      </w:r>
      <w:r>
        <w:rPr>
          <w:rFonts w:hint="eastAsia" w:cs="Times New Roman"/>
          <w:szCs w:val="30"/>
          <w:highlight w:val="none"/>
          <w:lang w:val="en-US" w:eastAsia="zh-CN"/>
        </w:rPr>
        <w:t>的正偏差电量，</w:t>
      </w:r>
      <w:r>
        <w:rPr>
          <w:rFonts w:hint="eastAsia" w:cs="Times New Roman"/>
          <w:b w:val="0"/>
          <w:bCs w:val="0"/>
          <w:color w:val="000000"/>
          <w:kern w:val="2"/>
          <w:sz w:val="30"/>
          <w:szCs w:val="30"/>
          <w:highlight w:val="none"/>
          <w:lang w:eastAsia="zh-CN" w:bidi="ar-SA"/>
        </w:rPr>
        <w:t>根据</w:t>
      </w:r>
      <w:r>
        <w:rPr>
          <w:rFonts w:hint="default" w:ascii="Times New Roman" w:hAnsi="Times New Roman" w:eastAsia="仿宋_GB2312" w:cs="Times New Roman"/>
          <w:b w:val="0"/>
          <w:bCs w:val="0"/>
          <w:color w:val="000000"/>
          <w:kern w:val="2"/>
          <w:sz w:val="30"/>
          <w:szCs w:val="30"/>
          <w:highlight w:val="none"/>
          <w:lang w:val="en-US" w:eastAsia="zh-CN" w:bidi="ar-SA"/>
        </w:rPr>
        <w:t>该送电类别</w:t>
      </w:r>
      <w:r>
        <w:rPr>
          <w:rFonts w:hint="eastAsia" w:cs="Times New Roman"/>
          <w:b w:val="0"/>
          <w:bCs w:val="0"/>
          <w:color w:val="000000"/>
          <w:kern w:val="2"/>
          <w:sz w:val="30"/>
          <w:szCs w:val="30"/>
          <w:highlight w:val="none"/>
          <w:lang w:val="en-US" w:eastAsia="zh-CN" w:bidi="ar-SA"/>
        </w:rPr>
        <w:t>结算周期内的“网对网”或“点对网”</w:t>
      </w:r>
      <w:r>
        <w:rPr>
          <w:rFonts w:hint="default" w:ascii="Times New Roman" w:hAnsi="Times New Roman" w:cs="Times New Roman"/>
          <w:b w:val="0"/>
          <w:bCs w:val="0"/>
          <w:color w:val="000000"/>
          <w:kern w:val="2"/>
          <w:sz w:val="30"/>
          <w:szCs w:val="30"/>
          <w:highlight w:val="none"/>
          <w:lang w:val="en-US" w:eastAsia="zh-CN" w:bidi="ar-SA"/>
        </w:rPr>
        <w:t>跨省跨区优先</w:t>
      </w:r>
      <w:r>
        <w:rPr>
          <w:rFonts w:hint="eastAsia" w:cs="Times New Roman"/>
          <w:b w:val="0"/>
          <w:bCs w:val="0"/>
          <w:color w:val="000000"/>
          <w:kern w:val="2"/>
          <w:sz w:val="30"/>
          <w:szCs w:val="30"/>
          <w:highlight w:val="none"/>
          <w:lang w:val="en-US" w:eastAsia="zh-CN" w:bidi="ar-SA"/>
        </w:rPr>
        <w:t>发电规模计划算术均价结算；若结算周期内无</w:t>
      </w:r>
      <w:r>
        <w:rPr>
          <w:rFonts w:hint="default" w:ascii="Times New Roman" w:hAnsi="Times New Roman" w:cs="Times New Roman"/>
          <w:b w:val="0"/>
          <w:bCs w:val="0"/>
          <w:color w:val="000000"/>
          <w:kern w:val="2"/>
          <w:sz w:val="30"/>
          <w:szCs w:val="30"/>
          <w:highlight w:val="none"/>
          <w:lang w:val="en-US" w:eastAsia="zh-CN" w:bidi="ar-SA"/>
        </w:rPr>
        <w:t>跨省跨区优先发电规模计划电量</w:t>
      </w:r>
      <w:r>
        <w:rPr>
          <w:rFonts w:hint="eastAsia" w:cs="Times New Roman"/>
          <w:b w:val="0"/>
          <w:bCs w:val="0"/>
          <w:color w:val="000000"/>
          <w:kern w:val="2"/>
          <w:sz w:val="30"/>
          <w:szCs w:val="30"/>
          <w:highlight w:val="none"/>
          <w:lang w:val="en-US" w:eastAsia="zh-CN" w:bidi="ar-SA"/>
        </w:rPr>
        <w:t>交易，则按最近一次交易价格结算</w:t>
      </w:r>
      <w:r>
        <w:rPr>
          <w:rFonts w:hint="default" w:ascii="Times New Roman" w:hAnsi="Times New Roman" w:cs="Times New Roman"/>
          <w:szCs w:val="30"/>
          <w:highlight w:val="none"/>
        </w:rPr>
        <w:t>。</w:t>
      </w:r>
    </w:p>
    <w:p>
      <w:pPr>
        <w:numPr>
          <w:ilvl w:val="0"/>
          <w:numId w:val="0"/>
        </w:numPr>
        <w:overflowPunct/>
        <w:snapToGrid/>
        <w:spacing w:line="560" w:lineRule="exact"/>
        <w:ind w:firstLine="640"/>
        <w:jc w:val="left"/>
        <w:rPr>
          <w:rFonts w:hint="eastAsia" w:ascii="仿宋_GB2312" w:hAnsi="仿宋_GB2312" w:cs="仿宋_GB2312"/>
          <w:b w:val="0"/>
          <w:bCs w:val="0"/>
          <w:color w:val="auto"/>
          <w:kern w:val="2"/>
          <w:sz w:val="32"/>
          <w:szCs w:val="32"/>
          <w:highlight w:val="none"/>
          <w:u w:val="none"/>
          <w:lang w:eastAsia="zh-CN" w:bidi="ar"/>
        </w:rPr>
      </w:pPr>
      <w:r>
        <w:rPr>
          <w:rFonts w:hint="eastAsia" w:ascii="仿宋_GB2312" w:hAnsi="仿宋_GB2312" w:cs="仿宋_GB2312"/>
          <w:b w:val="0"/>
          <w:bCs w:val="0"/>
          <w:color w:val="auto"/>
          <w:kern w:val="2"/>
          <w:sz w:val="32"/>
          <w:szCs w:val="32"/>
          <w:highlight w:val="none"/>
          <w:u w:val="none"/>
          <w:lang w:eastAsia="zh-CN" w:bidi="ar"/>
        </w:rPr>
        <w:t>（四）</w:t>
      </w:r>
      <w:r>
        <w:rPr>
          <w:rFonts w:hint="default" w:ascii="Times New Roman" w:hAnsi="Times New Roman" w:eastAsia="仿宋_GB2312" w:cs="Times New Roman"/>
          <w:b w:val="0"/>
          <w:bCs w:val="0"/>
          <w:color w:val="000000"/>
          <w:kern w:val="2"/>
          <w:sz w:val="30"/>
          <w:szCs w:val="30"/>
          <w:highlight w:val="none"/>
          <w:u w:val="none"/>
          <w:lang w:eastAsia="zh-CN" w:bidi="ar-SA"/>
        </w:rPr>
        <w:t>“网对网”</w:t>
      </w:r>
      <w:r>
        <w:rPr>
          <w:rFonts w:hint="eastAsia" w:cs="Times New Roman"/>
          <w:b w:val="0"/>
          <w:bCs w:val="0"/>
          <w:color w:val="000000"/>
          <w:kern w:val="2"/>
          <w:sz w:val="30"/>
          <w:szCs w:val="30"/>
          <w:highlight w:val="none"/>
          <w:u w:val="none"/>
          <w:lang w:eastAsia="zh-CN" w:bidi="ar-SA"/>
        </w:rPr>
        <w:t>、“点对网”送电的电网的</w:t>
      </w:r>
      <w:r>
        <w:rPr>
          <w:rFonts w:hint="default" w:ascii="Times New Roman" w:hAnsi="Times New Roman" w:eastAsia="仿宋_GB2312" w:cs="Times New Roman"/>
          <w:b w:val="0"/>
          <w:bCs w:val="0"/>
          <w:color w:val="000000"/>
          <w:kern w:val="2"/>
          <w:sz w:val="30"/>
          <w:szCs w:val="30"/>
          <w:highlight w:val="none"/>
          <w:u w:val="none"/>
          <w:lang w:eastAsia="zh-CN" w:bidi="ar-SA"/>
        </w:rPr>
        <w:t>计划偏差由</w:t>
      </w:r>
      <w:r>
        <w:rPr>
          <w:rFonts w:hint="default" w:ascii="Times New Roman" w:hAnsi="Times New Roman" w:cs="Times New Roman"/>
          <w:b w:val="0"/>
          <w:bCs w:val="0"/>
          <w:color w:val="000000"/>
          <w:kern w:val="2"/>
          <w:sz w:val="30"/>
          <w:szCs w:val="30"/>
          <w:highlight w:val="none"/>
          <w:u w:val="none"/>
          <w:lang w:val="en-US" w:eastAsia="zh-CN" w:bidi="ar-SA"/>
        </w:rPr>
        <w:t>省级</w:t>
      </w:r>
      <w:r>
        <w:rPr>
          <w:rFonts w:hint="default" w:ascii="Times New Roman" w:hAnsi="Times New Roman" w:eastAsia="仿宋_GB2312" w:cs="Times New Roman"/>
          <w:b w:val="0"/>
          <w:bCs w:val="0"/>
          <w:color w:val="000000"/>
          <w:kern w:val="2"/>
          <w:sz w:val="30"/>
          <w:szCs w:val="30"/>
          <w:highlight w:val="none"/>
          <w:u w:val="none"/>
          <w:lang w:eastAsia="zh-CN" w:bidi="ar-SA"/>
        </w:rPr>
        <w:t>电网公司在省内分解</w:t>
      </w:r>
      <w:r>
        <w:rPr>
          <w:rFonts w:hint="eastAsia" w:ascii="仿宋_GB2312" w:hAnsi="仿宋_GB2312" w:cs="仿宋_GB2312"/>
          <w:b w:val="0"/>
          <w:bCs w:val="0"/>
          <w:color w:val="auto"/>
          <w:kern w:val="2"/>
          <w:sz w:val="32"/>
          <w:szCs w:val="32"/>
          <w:highlight w:val="none"/>
          <w:u w:val="none"/>
          <w:lang w:eastAsia="zh-CN" w:bidi="ar"/>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eastAsia" w:cs="Times New Roman"/>
          <w:szCs w:val="30"/>
          <w:highlight w:val="none"/>
          <w:lang w:eastAsia="zh-CN"/>
        </w:rPr>
        <w:t>对</w:t>
      </w:r>
      <w:r>
        <w:rPr>
          <w:rFonts w:hint="default" w:ascii="Times New Roman" w:hAnsi="Times New Roman" w:eastAsia="仿宋_GB2312" w:cs="Times New Roman"/>
          <w:b w:val="0"/>
          <w:bCs w:val="0"/>
          <w:color w:val="000000"/>
          <w:kern w:val="2"/>
          <w:sz w:val="30"/>
          <w:szCs w:val="30"/>
          <w:highlight w:val="none"/>
          <w:lang w:val="en-US" w:eastAsia="zh-CN" w:bidi="ar-SA"/>
        </w:rPr>
        <w:t>执行偏差按照</w:t>
      </w:r>
      <w:r>
        <w:rPr>
          <w:rFonts w:hint="default" w:ascii="Times New Roman" w:hAnsi="Times New Roman" w:eastAsia="仿宋_GB2312" w:cs="Times New Roman"/>
          <w:b w:val="0"/>
          <w:bCs w:val="0"/>
          <w:color w:val="000000"/>
          <w:kern w:val="2"/>
          <w:sz w:val="30"/>
          <w:szCs w:val="30"/>
          <w:highlight w:val="none"/>
          <w:lang w:eastAsia="zh-CN" w:bidi="ar-SA"/>
        </w:rPr>
        <w:t>购售电双方合同约定价格（或价格机制）结算；如合同未约定，可由购售电双方协商偏差电量结算价格；若双方协商不一致情况下，</w:t>
      </w:r>
      <w:r>
        <w:rPr>
          <w:rFonts w:hint="eastAsia" w:cs="Times New Roman"/>
          <w:b w:val="0"/>
          <w:bCs w:val="0"/>
          <w:color w:val="000000"/>
          <w:kern w:val="2"/>
          <w:sz w:val="30"/>
          <w:szCs w:val="30"/>
          <w:highlight w:val="none"/>
          <w:lang w:eastAsia="zh-CN" w:bidi="ar-SA"/>
        </w:rPr>
        <w:t>根据</w:t>
      </w:r>
      <w:r>
        <w:rPr>
          <w:rFonts w:hint="default" w:ascii="Times New Roman" w:hAnsi="Times New Roman" w:eastAsia="仿宋_GB2312" w:cs="Times New Roman"/>
          <w:b w:val="0"/>
          <w:bCs w:val="0"/>
          <w:color w:val="000000"/>
          <w:kern w:val="2"/>
          <w:sz w:val="30"/>
          <w:szCs w:val="30"/>
          <w:highlight w:val="none"/>
          <w:lang w:val="en-US" w:eastAsia="zh-CN" w:bidi="ar-SA"/>
        </w:rPr>
        <w:t>该送电类别</w:t>
      </w:r>
      <w:r>
        <w:rPr>
          <w:rFonts w:hint="eastAsia" w:cs="Times New Roman"/>
          <w:b w:val="0"/>
          <w:bCs w:val="0"/>
          <w:color w:val="000000"/>
          <w:kern w:val="2"/>
          <w:sz w:val="30"/>
          <w:szCs w:val="30"/>
          <w:highlight w:val="none"/>
          <w:lang w:val="en-US" w:eastAsia="zh-CN" w:bidi="ar-SA"/>
        </w:rPr>
        <w:t>结算周期内的“网对网”或“点对网”</w:t>
      </w:r>
      <w:r>
        <w:rPr>
          <w:rFonts w:hint="default" w:ascii="Times New Roman" w:hAnsi="Times New Roman" w:cs="Times New Roman"/>
          <w:b w:val="0"/>
          <w:bCs w:val="0"/>
          <w:color w:val="000000"/>
          <w:kern w:val="2"/>
          <w:sz w:val="30"/>
          <w:szCs w:val="30"/>
          <w:highlight w:val="none"/>
          <w:lang w:val="en-US" w:eastAsia="zh-CN" w:bidi="ar-SA"/>
        </w:rPr>
        <w:t>跨省跨区优先</w:t>
      </w:r>
      <w:r>
        <w:rPr>
          <w:rFonts w:hint="eastAsia" w:cs="Times New Roman"/>
          <w:b w:val="0"/>
          <w:bCs w:val="0"/>
          <w:color w:val="000000"/>
          <w:kern w:val="2"/>
          <w:sz w:val="30"/>
          <w:szCs w:val="30"/>
          <w:highlight w:val="none"/>
          <w:lang w:val="en-US" w:eastAsia="zh-CN" w:bidi="ar-SA"/>
        </w:rPr>
        <w:t>发电规模计划算术均价结算；若结算周期内无</w:t>
      </w:r>
      <w:r>
        <w:rPr>
          <w:rFonts w:hint="default" w:ascii="Times New Roman" w:hAnsi="Times New Roman" w:cs="Times New Roman"/>
          <w:b w:val="0"/>
          <w:bCs w:val="0"/>
          <w:color w:val="000000"/>
          <w:kern w:val="2"/>
          <w:sz w:val="30"/>
          <w:szCs w:val="30"/>
          <w:highlight w:val="none"/>
          <w:lang w:val="en-US" w:eastAsia="zh-CN" w:bidi="ar-SA"/>
        </w:rPr>
        <w:t>跨省跨区优先发电规模计划电量</w:t>
      </w:r>
      <w:r>
        <w:rPr>
          <w:rFonts w:hint="eastAsia" w:cs="Times New Roman"/>
          <w:b w:val="0"/>
          <w:bCs w:val="0"/>
          <w:color w:val="000000"/>
          <w:kern w:val="2"/>
          <w:sz w:val="30"/>
          <w:szCs w:val="30"/>
          <w:highlight w:val="none"/>
          <w:lang w:val="en-US" w:eastAsia="zh-CN" w:bidi="ar-SA"/>
        </w:rPr>
        <w:t>交易，则按最近一次交易价格结算</w:t>
      </w:r>
      <w:r>
        <w:rPr>
          <w:rFonts w:hint="default" w:ascii="Times New Roman" w:hAnsi="Times New Roman" w:cs="Times New Roman"/>
          <w:b w:val="0"/>
          <w:bCs w:val="0"/>
          <w:color w:val="000000"/>
          <w:kern w:val="2"/>
          <w:sz w:val="30"/>
          <w:szCs w:val="30"/>
          <w:highlight w:val="none"/>
          <w:lang w:val="en-US" w:eastAsia="zh-CN" w:bidi="ar-SA"/>
        </w:rPr>
        <w:t>。</w:t>
      </w:r>
      <w:r>
        <w:rPr>
          <w:rFonts w:hint="default" w:ascii="Times New Roman" w:hAnsi="Times New Roman" w:eastAsia="仿宋_GB2312" w:cs="Times New Roman"/>
          <w:b w:val="0"/>
          <w:bCs w:val="0"/>
          <w:color w:val="000000"/>
          <w:kern w:val="2"/>
          <w:sz w:val="30"/>
          <w:szCs w:val="30"/>
          <w:highlight w:val="none"/>
          <w:u w:val="none"/>
          <w:lang w:eastAsia="zh-CN" w:bidi="ar"/>
        </w:rPr>
        <w:t>“网对网”</w:t>
      </w:r>
      <w:r>
        <w:rPr>
          <w:rFonts w:hint="eastAsia" w:cs="Times New Roman"/>
          <w:b w:val="0"/>
          <w:bCs w:val="0"/>
          <w:color w:val="000000"/>
          <w:kern w:val="2"/>
          <w:sz w:val="30"/>
          <w:szCs w:val="30"/>
          <w:highlight w:val="none"/>
          <w:u w:val="none"/>
          <w:lang w:eastAsia="zh-CN" w:bidi="ar"/>
        </w:rPr>
        <w:t>、“点对网”送电的电网的</w:t>
      </w:r>
      <w:r>
        <w:rPr>
          <w:rFonts w:hint="default" w:ascii="Times New Roman" w:hAnsi="Times New Roman" w:eastAsia="仿宋_GB2312" w:cs="Times New Roman"/>
          <w:b w:val="0"/>
          <w:bCs w:val="0"/>
          <w:color w:val="000000"/>
          <w:kern w:val="2"/>
          <w:sz w:val="30"/>
          <w:szCs w:val="30"/>
          <w:highlight w:val="none"/>
          <w:u w:val="none"/>
          <w:lang w:eastAsia="zh-CN" w:bidi="ar"/>
        </w:rPr>
        <w:t>执行偏差由</w:t>
      </w:r>
      <w:r>
        <w:rPr>
          <w:rFonts w:hint="default" w:ascii="Times New Roman" w:hAnsi="Times New Roman" w:cs="Times New Roman"/>
          <w:b w:val="0"/>
          <w:bCs w:val="0"/>
          <w:color w:val="000000"/>
          <w:kern w:val="2"/>
          <w:sz w:val="30"/>
          <w:szCs w:val="30"/>
          <w:highlight w:val="none"/>
          <w:u w:val="none"/>
          <w:lang w:val="en-US" w:eastAsia="zh-CN" w:bidi="ar"/>
        </w:rPr>
        <w:t>省级</w:t>
      </w:r>
      <w:r>
        <w:rPr>
          <w:rFonts w:hint="default" w:ascii="Times New Roman" w:hAnsi="Times New Roman" w:eastAsia="仿宋_GB2312" w:cs="Times New Roman"/>
          <w:b w:val="0"/>
          <w:bCs w:val="0"/>
          <w:color w:val="000000"/>
          <w:kern w:val="2"/>
          <w:sz w:val="30"/>
          <w:szCs w:val="30"/>
          <w:highlight w:val="none"/>
          <w:u w:val="none"/>
          <w:lang w:eastAsia="zh-CN" w:bidi="ar"/>
        </w:rPr>
        <w:t>电网公司在省内分解</w:t>
      </w:r>
      <w:r>
        <w:rPr>
          <w:rFonts w:hint="eastAsia" w:cs="Times New Roman"/>
          <w:b w:val="0"/>
          <w:bCs w:val="0"/>
          <w:color w:val="000000"/>
          <w:kern w:val="2"/>
          <w:sz w:val="30"/>
          <w:szCs w:val="30"/>
          <w:highlight w:val="none"/>
          <w:u w:val="none"/>
          <w:lang w:eastAsia="zh-CN" w:bidi="ar"/>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对调度机构未提供偏差</w:t>
      </w:r>
      <w:r>
        <w:rPr>
          <w:rFonts w:hint="eastAsia" w:cs="Times New Roman"/>
          <w:color w:val="000000"/>
          <w:szCs w:val="30"/>
          <w:highlight w:val="none"/>
          <w:lang w:eastAsia="zh-CN"/>
        </w:rPr>
        <w:t>说明</w:t>
      </w:r>
      <w:r>
        <w:rPr>
          <w:rFonts w:hint="default" w:ascii="Times New Roman" w:hAnsi="Times New Roman" w:cs="Times New Roman"/>
          <w:color w:val="000000"/>
          <w:szCs w:val="30"/>
          <w:highlight w:val="none"/>
        </w:rPr>
        <w:t>的</w:t>
      </w:r>
      <w:r>
        <w:rPr>
          <w:rFonts w:hint="eastAsia" w:cs="Times New Roman"/>
          <w:color w:val="000000"/>
          <w:szCs w:val="30"/>
          <w:highlight w:val="none"/>
          <w:lang w:eastAsia="zh-CN"/>
        </w:rPr>
        <w:t>大于</w:t>
      </w:r>
      <w:r>
        <w:rPr>
          <w:rFonts w:hint="eastAsia" w:cs="Times New Roman"/>
          <w:color w:val="000000"/>
          <w:szCs w:val="30"/>
          <w:highlight w:val="none"/>
          <w:lang w:val="en-US" w:eastAsia="zh-CN"/>
        </w:rPr>
        <w:t>3%的</w:t>
      </w:r>
      <w:r>
        <w:rPr>
          <w:rFonts w:hint="default" w:ascii="Times New Roman" w:hAnsi="Times New Roman" w:cs="Times New Roman"/>
          <w:color w:val="000000"/>
          <w:szCs w:val="30"/>
          <w:highlight w:val="none"/>
        </w:rPr>
        <w:t>计划偏差电量，</w:t>
      </w:r>
      <w:r>
        <w:rPr>
          <w:rFonts w:hint="eastAsia" w:cs="Times New Roman"/>
          <w:color w:val="000000"/>
          <w:szCs w:val="30"/>
          <w:lang w:eastAsia="zh-CN"/>
        </w:rPr>
        <w:t>在购售电双方无协商一致的偏差价格时，</w:t>
      </w:r>
      <w:r>
        <w:rPr>
          <w:rFonts w:hint="default" w:ascii="Times New Roman" w:hAnsi="Times New Roman" w:cs="Times New Roman"/>
          <w:color w:val="000000"/>
          <w:szCs w:val="30"/>
          <w:lang w:val="en-US" w:eastAsia="zh-CN"/>
        </w:rPr>
        <w:t>可按照临时电价先结算</w:t>
      </w:r>
      <w:r>
        <w:rPr>
          <w:rFonts w:hint="eastAsia" w:cs="Times New Roman"/>
          <w:color w:val="000000"/>
          <w:szCs w:val="30"/>
          <w:lang w:eastAsia="zh-CN"/>
        </w:rPr>
        <w:t>；</w:t>
      </w:r>
      <w:r>
        <w:rPr>
          <w:rFonts w:hint="default" w:ascii="Times New Roman" w:hAnsi="Times New Roman" w:eastAsia="仿宋_GB2312" w:cs="Times New Roman"/>
          <w:b w:val="0"/>
          <w:bCs w:val="0"/>
          <w:color w:val="000000"/>
          <w:kern w:val="2"/>
          <w:sz w:val="30"/>
          <w:szCs w:val="30"/>
          <w:lang w:val="en-US" w:eastAsia="zh-CN" w:bidi="ar-SA"/>
        </w:rPr>
        <w:t>若无临时电价，</w:t>
      </w:r>
      <w:r>
        <w:rPr>
          <w:rFonts w:hint="eastAsia" w:cs="Times New Roman"/>
          <w:b w:val="0"/>
          <w:bCs w:val="0"/>
          <w:color w:val="000000"/>
          <w:kern w:val="2"/>
          <w:sz w:val="30"/>
          <w:szCs w:val="30"/>
          <w:lang w:eastAsia="zh-CN" w:bidi="ar-SA"/>
        </w:rPr>
        <w:t>根据</w:t>
      </w:r>
      <w:r>
        <w:rPr>
          <w:rFonts w:hint="default" w:ascii="Times New Roman" w:hAnsi="Times New Roman" w:eastAsia="仿宋_GB2312" w:cs="Times New Roman"/>
          <w:b w:val="0"/>
          <w:bCs w:val="0"/>
          <w:color w:val="000000"/>
          <w:kern w:val="2"/>
          <w:sz w:val="30"/>
          <w:szCs w:val="30"/>
          <w:lang w:val="en-US" w:eastAsia="zh-CN" w:bidi="ar-SA"/>
        </w:rPr>
        <w:t>该送电类别</w:t>
      </w:r>
      <w:r>
        <w:rPr>
          <w:rFonts w:hint="eastAsia" w:cs="Times New Roman"/>
          <w:b w:val="0"/>
          <w:bCs w:val="0"/>
          <w:color w:val="000000"/>
          <w:kern w:val="2"/>
          <w:sz w:val="30"/>
          <w:szCs w:val="30"/>
          <w:lang w:val="en-US" w:eastAsia="zh-CN" w:bidi="ar-SA"/>
        </w:rPr>
        <w:t>结算周期内的“网对网”或“点对网”</w:t>
      </w:r>
      <w:r>
        <w:rPr>
          <w:rFonts w:hint="default" w:ascii="Times New Roman" w:hAnsi="Times New Roman" w:cs="Times New Roman"/>
          <w:b w:val="0"/>
          <w:bCs w:val="0"/>
          <w:color w:val="000000"/>
          <w:kern w:val="2"/>
          <w:sz w:val="30"/>
          <w:szCs w:val="30"/>
          <w:lang w:val="en-US" w:eastAsia="zh-CN" w:bidi="ar-SA"/>
        </w:rPr>
        <w:t>跨省跨区优先</w:t>
      </w:r>
      <w:r>
        <w:rPr>
          <w:rFonts w:hint="eastAsia" w:cs="Times New Roman"/>
          <w:b w:val="0"/>
          <w:bCs w:val="0"/>
          <w:color w:val="000000"/>
          <w:kern w:val="2"/>
          <w:sz w:val="30"/>
          <w:szCs w:val="30"/>
          <w:lang w:val="en-US" w:eastAsia="zh-CN" w:bidi="ar-SA"/>
        </w:rPr>
        <w:t>发电规模计划算术均价先结算；若结算周期内无</w:t>
      </w:r>
      <w:r>
        <w:rPr>
          <w:rFonts w:hint="default" w:ascii="Times New Roman" w:hAnsi="Times New Roman" w:cs="Times New Roman"/>
          <w:b w:val="0"/>
          <w:bCs w:val="0"/>
          <w:color w:val="000000"/>
          <w:kern w:val="2"/>
          <w:sz w:val="30"/>
          <w:szCs w:val="30"/>
          <w:lang w:val="en-US" w:eastAsia="zh-CN" w:bidi="ar-SA"/>
        </w:rPr>
        <w:t>跨省跨区优先发电规模计划电量</w:t>
      </w:r>
      <w:r>
        <w:rPr>
          <w:rFonts w:hint="eastAsia" w:cs="Times New Roman"/>
          <w:b w:val="0"/>
          <w:bCs w:val="0"/>
          <w:color w:val="000000"/>
          <w:kern w:val="2"/>
          <w:sz w:val="30"/>
          <w:szCs w:val="30"/>
          <w:lang w:val="en-US" w:eastAsia="zh-CN" w:bidi="ar-SA"/>
        </w:rPr>
        <w:t>交易，则按最近一次交易价格结算。</w:t>
      </w:r>
      <w:r>
        <w:rPr>
          <w:rFonts w:hint="default" w:ascii="Times New Roman" w:hAnsi="Times New Roman" w:cs="Times New Roman"/>
          <w:color w:val="000000"/>
          <w:szCs w:val="30"/>
        </w:rPr>
        <w:t>待调度机构按要求出具偏差记录或各方协商一致后，</w:t>
      </w:r>
      <w:r>
        <w:rPr>
          <w:rFonts w:hint="eastAsia" w:cs="Times New Roman"/>
          <w:color w:val="000000"/>
          <w:szCs w:val="30"/>
          <w:lang w:eastAsia="zh-CN"/>
        </w:rPr>
        <w:t>再</w:t>
      </w:r>
      <w:r>
        <w:rPr>
          <w:rFonts w:hint="default" w:ascii="Times New Roman" w:hAnsi="Times New Roman" w:cs="Times New Roman"/>
          <w:color w:val="000000"/>
          <w:szCs w:val="30"/>
        </w:rPr>
        <w:t>组织清算</w:t>
      </w:r>
      <w:r>
        <w:rPr>
          <w:rFonts w:hint="eastAsia" w:cs="Times New Roman"/>
          <w:b w:val="0"/>
          <w:bCs w:val="0"/>
          <w:color w:val="000000"/>
          <w:kern w:val="2"/>
          <w:sz w:val="30"/>
          <w:szCs w:val="30"/>
          <w:highlight w:val="none"/>
          <w:lang w:val="en-US" w:eastAsia="zh-CN" w:bidi="ar-SA"/>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rPr>
        <w:t>同时参与跨区跨省和省内电力中长期交易时，跨区跨省偏差电量按本规则处理，省内</w:t>
      </w:r>
      <w:r>
        <w:rPr>
          <w:rFonts w:hint="eastAsia" w:cs="Times New Roman"/>
          <w:color w:val="000000"/>
          <w:szCs w:val="30"/>
          <w:highlight w:val="none"/>
          <w:lang w:eastAsia="zh-CN"/>
        </w:rPr>
        <w:t>结算以省间结算结果为边界开展结算</w:t>
      </w:r>
      <w:r>
        <w:rPr>
          <w:rFonts w:hint="default" w:ascii="Times New Roman" w:hAnsi="Times New Roman" w:cs="Times New Roman"/>
          <w:szCs w:val="30"/>
          <w:highlight w:val="none"/>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eastAsia" w:cs="Times New Roman"/>
          <w:szCs w:val="30"/>
          <w:highlight w:val="none"/>
          <w:lang w:eastAsia="zh-CN"/>
        </w:rPr>
        <w:t>经营主体</w:t>
      </w:r>
      <w:r>
        <w:rPr>
          <w:rFonts w:hint="default" w:ascii="Times New Roman" w:hAnsi="Times New Roman" w:cs="Times New Roman"/>
          <w:szCs w:val="30"/>
          <w:highlight w:val="none"/>
        </w:rPr>
        <w:t>对计划偏差、执行偏差及偏差责任认定提出异议时，可向广州电力交易中心提出申诉。</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43" w:name="_Toc30398"/>
      <w:bookmarkStart w:id="44" w:name="_Toc88663439"/>
      <w:r>
        <w:rPr>
          <w:rFonts w:hint="default" w:ascii="Times New Roman" w:hAnsi="Times New Roman" w:eastAsia="黑体" w:cs="Times New Roman"/>
          <w:bCs w:val="0"/>
          <w:kern w:val="2"/>
          <w:sz w:val="30"/>
          <w:szCs w:val="30"/>
          <w:highlight w:val="none"/>
        </w:rPr>
        <w:t>结算</w:t>
      </w:r>
      <w:bookmarkEnd w:id="43"/>
      <w:bookmarkEnd w:id="44"/>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 xml:space="preserve"> 交易结算工作应遵循依法、诚信、公平、公正的原则，遵守电能交易合同相关条款，维护电力市场秩序。通过送受电省政府间协议方式形成价格的，应按协议相关条款进行结算，不得按单方面要求调整结算价格。</w:t>
      </w:r>
      <w:r>
        <w:rPr>
          <w:rFonts w:hint="default" w:ascii="Times New Roman" w:hAnsi="Times New Roman" w:cs="Times New Roman"/>
          <w:color w:val="000000"/>
          <w:szCs w:val="30"/>
          <w:highlight w:val="none"/>
          <w:lang w:val="en-US" w:eastAsia="zh-CN"/>
        </w:rPr>
        <w:t>在国家有关部门明确的保供期间，</w:t>
      </w:r>
      <w:r>
        <w:rPr>
          <w:rFonts w:hint="default" w:ascii="Times New Roman" w:hAnsi="Times New Roman" w:cs="Times New Roman"/>
          <w:szCs w:val="30"/>
          <w:highlight w:val="none"/>
          <w:lang w:val="en-US" w:eastAsia="zh-CN"/>
        </w:rPr>
        <w:t>送电价格暂时无法达成一致的，可按照临时电价先结算再清算；若无临时电价，可参照最近一次交易价格结算、事后清算，或先送电后清算。</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eastAsia" w:cs="Times New Roman"/>
          <w:szCs w:val="30"/>
          <w:highlight w:val="none"/>
          <w:lang w:val="en-US" w:eastAsia="zh-CN"/>
        </w:rPr>
        <w:t>结合电力市场建设进展，现货市场运行期间，跨区跨省交易卖方成交结果作为送端关口负荷增量，买方成交结果作为受端关口电源参与省内出清和结算。</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广州电力交易中心负责对跨区跨省交易电量进行分割和结算，向相关</w:t>
      </w:r>
      <w:r>
        <w:rPr>
          <w:rFonts w:hint="eastAsia" w:cs="Times New Roman"/>
          <w:szCs w:val="30"/>
          <w:highlight w:val="none"/>
          <w:lang w:eastAsia="zh-CN"/>
        </w:rPr>
        <w:t>经营主体</w:t>
      </w:r>
      <w:r>
        <w:rPr>
          <w:rFonts w:hint="default" w:ascii="Times New Roman" w:hAnsi="Times New Roman" w:cs="Times New Roman"/>
          <w:szCs w:val="30"/>
          <w:highlight w:val="none"/>
        </w:rPr>
        <w:t>出具结算依据。各省（区）电力交易中心以广州电力交易中心出具的跨区跨省结算依据为</w:t>
      </w:r>
      <w:r>
        <w:rPr>
          <w:rFonts w:hint="eastAsia" w:cs="Times New Roman"/>
          <w:szCs w:val="30"/>
          <w:highlight w:val="none"/>
          <w:lang w:eastAsia="zh-CN"/>
        </w:rPr>
        <w:t>边界</w:t>
      </w:r>
      <w:r>
        <w:rPr>
          <w:rFonts w:hint="default" w:ascii="Times New Roman" w:hAnsi="Times New Roman" w:cs="Times New Roman"/>
          <w:szCs w:val="30"/>
          <w:highlight w:val="none"/>
        </w:rPr>
        <w:t>，结合</w:t>
      </w:r>
      <w:r>
        <w:rPr>
          <w:rFonts w:hint="eastAsia" w:cs="Times New Roman"/>
          <w:szCs w:val="30"/>
          <w:highlight w:val="none"/>
          <w:lang w:eastAsia="zh-CN"/>
        </w:rPr>
        <w:t>经营主体</w:t>
      </w:r>
      <w:r>
        <w:rPr>
          <w:rFonts w:hint="default" w:ascii="Times New Roman" w:hAnsi="Times New Roman" w:cs="Times New Roman"/>
          <w:szCs w:val="30"/>
          <w:highlight w:val="none"/>
        </w:rPr>
        <w:t>省内交易情况，汇总出具结算依据。</w:t>
      </w:r>
      <w:r>
        <w:rPr>
          <w:rFonts w:hint="eastAsia" w:cs="Times New Roman"/>
          <w:szCs w:val="30"/>
          <w:highlight w:val="none"/>
          <w:lang w:eastAsia="zh-CN"/>
        </w:rPr>
        <w:t>经营主体</w:t>
      </w:r>
      <w:r>
        <w:rPr>
          <w:rFonts w:hint="default" w:ascii="Times New Roman" w:hAnsi="Times New Roman" w:cs="Times New Roman"/>
          <w:szCs w:val="30"/>
          <w:highlight w:val="none"/>
        </w:rPr>
        <w:t>的合约电量和偏差电量在同一结算周期分开结算。</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结算依据应包括实际结算电量，各类交易（含预招标）电量、电价和电费，偏差电量、电价和电费等内容。</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参与南方区域跨区跨省电力中长期交易的相关市场成员应及时向广州电力交易中心提供结算需要的基础数据。其中：</w:t>
      </w:r>
    </w:p>
    <w:p>
      <w:pPr>
        <w:numPr>
          <w:ilvl w:val="0"/>
          <w:numId w:val="15"/>
        </w:num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南网总调应提供跨区跨省结算所需</w:t>
      </w:r>
      <w:r>
        <w:rPr>
          <w:rFonts w:hint="eastAsia" w:cs="Times New Roman"/>
          <w:szCs w:val="30"/>
          <w:highlight w:val="none"/>
          <w:lang w:eastAsia="zh-CN"/>
        </w:rPr>
        <w:t>分时</w:t>
      </w:r>
      <w:r>
        <w:rPr>
          <w:rFonts w:hint="default" w:ascii="Times New Roman" w:hAnsi="Times New Roman" w:cs="Times New Roman"/>
          <w:szCs w:val="30"/>
          <w:highlight w:val="none"/>
        </w:rPr>
        <w:t>调度计划</w:t>
      </w:r>
      <w:r>
        <w:rPr>
          <w:rFonts w:hint="eastAsia" w:cs="Times New Roman"/>
          <w:szCs w:val="30"/>
          <w:highlight w:val="none"/>
          <w:lang w:eastAsia="zh-CN"/>
        </w:rPr>
        <w:t>。</w:t>
      </w:r>
    </w:p>
    <w:p>
      <w:pPr>
        <w:numPr>
          <w:ilvl w:val="0"/>
          <w:numId w:val="15"/>
        </w:num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超高压公司提供</w:t>
      </w:r>
      <w:r>
        <w:rPr>
          <w:rFonts w:hint="default" w:ascii="Times New Roman" w:hAnsi="Times New Roman" w:cs="Times New Roman"/>
          <w:szCs w:val="30"/>
          <w:highlight w:val="none"/>
          <w:lang w:val="zh-CN"/>
        </w:rPr>
        <w:t>省间</w:t>
      </w:r>
      <w:r>
        <w:rPr>
          <w:rFonts w:hint="eastAsia" w:cs="Times New Roman"/>
          <w:szCs w:val="30"/>
          <w:highlight w:val="none"/>
          <w:lang w:val="zh-CN"/>
        </w:rPr>
        <w:t>分时</w:t>
      </w:r>
      <w:r>
        <w:rPr>
          <w:rFonts w:hint="default" w:ascii="Times New Roman" w:hAnsi="Times New Roman" w:cs="Times New Roman"/>
          <w:szCs w:val="30"/>
          <w:highlight w:val="none"/>
          <w:lang w:val="zh-CN"/>
        </w:rPr>
        <w:t>计量关口电量</w:t>
      </w:r>
      <w:r>
        <w:rPr>
          <w:rFonts w:hint="eastAsia" w:cs="Times New Roman"/>
          <w:szCs w:val="30"/>
          <w:highlight w:val="none"/>
          <w:lang w:val="zh-CN"/>
        </w:rPr>
        <w:t>。</w:t>
      </w:r>
    </w:p>
    <w:p>
      <w:pPr>
        <w:numPr>
          <w:ilvl w:val="0"/>
          <w:numId w:val="15"/>
        </w:num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lang w:val="zh-CN"/>
        </w:rPr>
        <w:t>各省区电力交易中心提供跨省区结算所需省内市场化数据</w:t>
      </w:r>
      <w:r>
        <w:rPr>
          <w:rFonts w:hint="eastAsia" w:cs="Times New Roman"/>
          <w:szCs w:val="30"/>
          <w:highlight w:val="none"/>
          <w:lang w:val="zh-CN"/>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南方区域跨区跨省电力中长期</w:t>
      </w:r>
      <w:r>
        <w:rPr>
          <w:rFonts w:hint="default" w:ascii="Times New Roman" w:hAnsi="Times New Roman" w:cs="Times New Roman"/>
          <w:szCs w:val="30"/>
          <w:highlight w:val="none"/>
          <w:lang w:val="zh-CN"/>
        </w:rPr>
        <w:t>交易结算</w:t>
      </w:r>
      <w:r>
        <w:rPr>
          <w:rFonts w:hint="default" w:ascii="Times New Roman" w:hAnsi="Times New Roman" w:cs="Times New Roman"/>
          <w:szCs w:val="30"/>
          <w:highlight w:val="none"/>
        </w:rPr>
        <w:t>原则上</w:t>
      </w:r>
      <w:r>
        <w:rPr>
          <w:rFonts w:hint="default" w:ascii="Times New Roman" w:hAnsi="Times New Roman" w:cs="Times New Roman"/>
          <w:szCs w:val="30"/>
          <w:highlight w:val="none"/>
          <w:lang w:val="en-US" w:eastAsia="zh-CN"/>
        </w:rPr>
        <w:t>采用月结月清模式，根据</w:t>
      </w:r>
      <w:r>
        <w:rPr>
          <w:rFonts w:hint="eastAsia" w:cs="Times New Roman"/>
          <w:szCs w:val="30"/>
          <w:highlight w:val="none"/>
          <w:lang w:val="en-US" w:eastAsia="zh-CN"/>
        </w:rPr>
        <w:t>南方区域电力</w:t>
      </w:r>
      <w:r>
        <w:rPr>
          <w:rFonts w:hint="default" w:ascii="Times New Roman" w:hAnsi="Times New Roman" w:cs="Times New Roman"/>
          <w:szCs w:val="30"/>
          <w:highlight w:val="none"/>
          <w:lang w:val="en-US" w:eastAsia="zh-CN"/>
        </w:rPr>
        <w:t>市场</w:t>
      </w:r>
      <w:r>
        <w:rPr>
          <w:rFonts w:hint="eastAsia" w:cs="Times New Roman"/>
          <w:szCs w:val="30"/>
          <w:highlight w:val="none"/>
          <w:lang w:val="en-US" w:eastAsia="zh-CN"/>
        </w:rPr>
        <w:t>建设</w:t>
      </w:r>
      <w:r>
        <w:rPr>
          <w:rFonts w:hint="default" w:ascii="Times New Roman" w:hAnsi="Times New Roman" w:cs="Times New Roman"/>
          <w:szCs w:val="30"/>
          <w:highlight w:val="none"/>
          <w:lang w:val="en-US" w:eastAsia="zh-CN"/>
        </w:rPr>
        <w:t>需要逐步过渡至日清月结模式，根据需要开展退补清算</w:t>
      </w:r>
      <w:r>
        <w:rPr>
          <w:rFonts w:hint="default" w:ascii="Times New Roman" w:hAnsi="Times New Roman" w:cs="Times New Roman"/>
          <w:szCs w:val="30"/>
          <w:highlight w:val="none"/>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广州电力交易中心按基础结算时段（</w:t>
      </w:r>
      <w:r>
        <w:rPr>
          <w:rFonts w:hint="eastAsia" w:cs="Times New Roman"/>
          <w:szCs w:val="30"/>
          <w:highlight w:val="none"/>
          <w:lang w:val="en-US" w:eastAsia="zh-CN"/>
        </w:rPr>
        <w:t>月分时或日分时</w:t>
      </w:r>
      <w:r>
        <w:rPr>
          <w:rFonts w:hint="default" w:ascii="Times New Roman" w:hAnsi="Times New Roman" w:cs="Times New Roman"/>
          <w:szCs w:val="30"/>
          <w:highlight w:val="none"/>
          <w:lang w:val="en-US" w:eastAsia="zh-CN"/>
        </w:rPr>
        <w:t>）对</w:t>
      </w:r>
      <w:r>
        <w:rPr>
          <w:rFonts w:hint="eastAsia" w:cs="Times New Roman"/>
          <w:szCs w:val="30"/>
          <w:highlight w:val="none"/>
          <w:lang w:val="en-US" w:eastAsia="zh-CN"/>
        </w:rPr>
        <w:t>送电类别</w:t>
      </w:r>
      <w:r>
        <w:rPr>
          <w:rFonts w:hint="default" w:ascii="Times New Roman" w:hAnsi="Times New Roman" w:cs="Times New Roman"/>
          <w:szCs w:val="30"/>
          <w:highlight w:val="none"/>
          <w:lang w:val="en-US" w:eastAsia="zh-CN"/>
        </w:rPr>
        <w:t>电量进行分割，分割顺序如下</w:t>
      </w:r>
      <w:r>
        <w:rPr>
          <w:rFonts w:hint="default" w:ascii="Times New Roman" w:hAnsi="Times New Roman" w:cs="Times New Roman"/>
          <w:szCs w:val="30"/>
          <w:highlight w:val="none"/>
        </w:rPr>
        <w:t>：</w:t>
      </w:r>
    </w:p>
    <w:p>
      <w:pPr>
        <w:numPr>
          <w:ilvl w:val="0"/>
          <w:numId w:val="0"/>
        </w:numPr>
        <w:overflowPunct w:val="0"/>
        <w:snapToGrid w:val="0"/>
        <w:spacing w:line="560" w:lineRule="exact"/>
        <w:ind w:firstLine="720" w:firstLineChars="24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（一）合同交易，包括发电、送电和用电合同交易。</w:t>
      </w:r>
    </w:p>
    <w:p>
      <w:pPr>
        <w:numPr>
          <w:ilvl w:val="0"/>
          <w:numId w:val="0"/>
        </w:numPr>
        <w:overflowPunct w:val="0"/>
        <w:snapToGrid w:val="0"/>
        <w:spacing w:line="560" w:lineRule="exact"/>
        <w:ind w:firstLine="720" w:firstLineChars="24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（二）电力用户（或售电公司）参与的直接交易。</w:t>
      </w:r>
    </w:p>
    <w:p>
      <w:pPr>
        <w:numPr>
          <w:ilvl w:val="0"/>
          <w:numId w:val="0"/>
        </w:numPr>
        <w:overflowPunct w:val="0"/>
        <w:snapToGrid w:val="0"/>
        <w:spacing w:line="560" w:lineRule="exact"/>
        <w:ind w:firstLine="720" w:firstLineChars="24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（三）</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lang w:val="en-US" w:eastAsia="zh-CN"/>
        </w:rPr>
        <w:t>。</w:t>
      </w:r>
    </w:p>
    <w:p>
      <w:pPr>
        <w:numPr>
          <w:ilvl w:val="0"/>
          <w:numId w:val="0"/>
        </w:numPr>
        <w:overflowPunct w:val="0"/>
        <w:snapToGrid w:val="0"/>
        <w:spacing w:line="560" w:lineRule="exact"/>
        <w:ind w:firstLine="720" w:firstLineChars="24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（四）其他市场化交易电量。</w:t>
      </w:r>
    </w:p>
    <w:p>
      <w:pPr>
        <w:numPr>
          <w:ilvl w:val="0"/>
          <w:numId w:val="0"/>
        </w:numPr>
        <w:overflowPunct w:val="0"/>
        <w:snapToGrid w:val="0"/>
        <w:spacing w:line="560" w:lineRule="exact"/>
        <w:ind w:firstLine="720" w:firstLineChars="240"/>
        <w:rPr>
          <w:rFonts w:hint="eastAsia" w:cs="Times New Roman"/>
          <w:szCs w:val="30"/>
          <w:highlight w:val="none"/>
          <w:lang w:val="en-US" w:eastAsia="zh-CN"/>
        </w:rPr>
      </w:pPr>
      <w:r>
        <w:rPr>
          <w:rFonts w:hint="default" w:ascii="Times New Roman" w:hAnsi="Times New Roman" w:cs="Times New Roman"/>
          <w:szCs w:val="30"/>
          <w:highlight w:val="none"/>
          <w:lang w:val="en-US" w:eastAsia="zh-CN"/>
        </w:rPr>
        <w:t>（五）预招标</w:t>
      </w:r>
      <w:r>
        <w:rPr>
          <w:rFonts w:hint="eastAsia" w:cs="Times New Roman"/>
          <w:szCs w:val="30"/>
          <w:highlight w:val="none"/>
          <w:lang w:val="en-US" w:eastAsia="zh-CN"/>
        </w:rPr>
        <w:t>电量。</w:t>
      </w:r>
    </w:p>
    <w:p>
      <w:pPr>
        <w:numPr>
          <w:ilvl w:val="0"/>
          <w:numId w:val="0"/>
        </w:numPr>
        <w:overflowPunct w:val="0"/>
        <w:snapToGrid w:val="0"/>
        <w:spacing w:line="560" w:lineRule="exact"/>
        <w:ind w:firstLine="720" w:firstLineChars="240"/>
        <w:rPr>
          <w:rFonts w:hint="default" w:ascii="Times New Roman" w:hAnsi="Times New Roman" w:cs="Times New Roman"/>
          <w:szCs w:val="30"/>
          <w:highlight w:val="none"/>
          <w:lang w:val="en-US" w:eastAsia="zh-CN"/>
        </w:rPr>
      </w:pPr>
      <w:r>
        <w:rPr>
          <w:rFonts w:hint="eastAsia" w:cs="Times New Roman"/>
          <w:szCs w:val="30"/>
          <w:highlight w:val="none"/>
          <w:lang w:val="en-US" w:eastAsia="zh-CN"/>
        </w:rPr>
        <w:t>（六）应急调度</w:t>
      </w:r>
      <w:r>
        <w:rPr>
          <w:rFonts w:hint="default" w:ascii="Times New Roman" w:hAnsi="Times New Roman" w:cs="Times New Roman"/>
          <w:szCs w:val="30"/>
          <w:highlight w:val="none"/>
          <w:lang w:val="en-US" w:eastAsia="zh-CN"/>
        </w:rPr>
        <w:t>电量。</w:t>
      </w:r>
    </w:p>
    <w:p>
      <w:pPr>
        <w:numPr>
          <w:ilvl w:val="0"/>
          <w:numId w:val="0"/>
        </w:numPr>
        <w:overflowPunct w:val="0"/>
        <w:snapToGrid w:val="0"/>
        <w:spacing w:line="560" w:lineRule="exact"/>
        <w:ind w:firstLine="720" w:firstLineChars="240"/>
        <w:rPr>
          <w:rFonts w:hint="default" w:ascii="Times New Roman" w:hAnsi="Times New Roman" w:cs="Times New Roman"/>
          <w:szCs w:val="30"/>
        </w:rPr>
      </w:pPr>
      <w:r>
        <w:rPr>
          <w:rFonts w:hint="eastAsia" w:cs="Times New Roman"/>
          <w:sz w:val="30"/>
          <w:szCs w:val="30"/>
          <w:highlight w:val="none"/>
          <w:lang w:eastAsia="zh-CN"/>
        </w:rPr>
        <w:t>在电量分割中，同类交易</w:t>
      </w:r>
      <w:r>
        <w:rPr>
          <w:rFonts w:hint="eastAsia" w:ascii="Times New Roman" w:hAnsi="Times New Roman" w:eastAsia="仿宋_GB2312" w:cs="Times New Roman"/>
          <w:sz w:val="30"/>
          <w:szCs w:val="30"/>
          <w:highlight w:val="none"/>
        </w:rPr>
        <w:t>绿色电力交易电量优先分割</w:t>
      </w:r>
      <w:r>
        <w:rPr>
          <w:rFonts w:hint="eastAsia" w:ascii="Times New Roman" w:hAnsi="Times New Roman" w:eastAsia="仿宋_GB2312" w:cs="Times New Roman"/>
          <w:sz w:val="30"/>
          <w:szCs w:val="30"/>
          <w:highlight w:val="none"/>
          <w:lang w:eastAsia="zh-CN"/>
        </w:rPr>
        <w:t>。</w:t>
      </w:r>
      <w:r>
        <w:rPr>
          <w:rFonts w:hint="eastAsia" w:cs="Times New Roman"/>
          <w:szCs w:val="30"/>
          <w:lang w:val="en-US" w:eastAsia="zh-CN"/>
        </w:rPr>
        <w:t>在分割完以上电量后，剩余电量纳入“网对网”或“点对网”</w:t>
      </w:r>
      <w:r>
        <w:rPr>
          <w:rFonts w:hint="default" w:ascii="Times New Roman" w:hAnsi="Times New Roman" w:cs="Times New Roman"/>
          <w:szCs w:val="30"/>
          <w:lang w:val="en-US" w:eastAsia="zh-CN"/>
        </w:rPr>
        <w:t>偏差电量（包括计划偏差和执行偏差）。</w:t>
      </w:r>
      <w:r>
        <w:rPr>
          <w:rFonts w:hint="eastAsia" w:cs="Times New Roman"/>
          <w:szCs w:val="30"/>
          <w:lang w:val="en-US" w:eastAsia="zh-CN"/>
        </w:rPr>
        <w:t>其中，</w:t>
      </w:r>
      <w:r>
        <w:rPr>
          <w:rFonts w:hint="default" w:ascii="Times New Roman" w:hAnsi="Times New Roman" w:cs="Times New Roman"/>
          <w:szCs w:val="30"/>
          <w:lang w:val="en-US" w:eastAsia="zh-CN"/>
        </w:rPr>
        <w:t>合约电量按照合约价格结算</w:t>
      </w:r>
      <w:r>
        <w:rPr>
          <w:rFonts w:hint="eastAsia" w:cs="Times New Roman"/>
          <w:szCs w:val="30"/>
          <w:lang w:val="en-US" w:eastAsia="zh-CN"/>
        </w:rPr>
        <w:t>，预招标电量按照预招标交易价格结算</w:t>
      </w:r>
      <w:r>
        <w:rPr>
          <w:rFonts w:hint="default" w:ascii="Times New Roman" w:hAnsi="Times New Roman" w:cs="Times New Roman"/>
          <w:szCs w:val="30"/>
          <w:lang w:val="en-US" w:eastAsia="zh-CN"/>
        </w:rPr>
        <w:t>，应急调度电量按照《南方区域跨省（区）应急调度暂行规则》结算</w:t>
      </w:r>
      <w:r>
        <w:rPr>
          <w:rFonts w:hint="eastAsia" w:cs="Times New Roman"/>
          <w:szCs w:val="30"/>
          <w:lang w:val="en-US" w:eastAsia="zh-CN"/>
        </w:rPr>
        <w:t>，</w:t>
      </w:r>
      <w:r>
        <w:rPr>
          <w:rFonts w:hint="default" w:ascii="Times New Roman" w:hAnsi="Times New Roman" w:cs="Times New Roman"/>
          <w:szCs w:val="30"/>
          <w:lang w:val="en-US" w:eastAsia="zh-CN"/>
        </w:rPr>
        <w:t>偏差电量按照偏差电量价格机制结算</w:t>
      </w:r>
      <w:r>
        <w:rPr>
          <w:rFonts w:hint="default" w:ascii="Times New Roman" w:hAnsi="Times New Roman" w:cs="Times New Roman"/>
          <w:szCs w:val="30"/>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电网企业（含地方电网企业和配售电企业）之间结算的输配电费用，按照政府价格主管部门核定的输配电价和实际物理计量电量结算。</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各级电网企业按照《发电企业与电网企业电费结算办法》或合同约定进行电费支付，</w:t>
      </w:r>
      <w:r>
        <w:rPr>
          <w:rFonts w:hint="default" w:ascii="Times New Roman" w:hAnsi="Times New Roman" w:cs="Times New Roman"/>
          <w:szCs w:val="30"/>
          <w:highlight w:val="none"/>
        </w:rPr>
        <w:t>发电企业上网电量电费由电网企业支付;电力用户向电网企业缴纳电费，并由电网企业承担电力用户侧欠费风险;售电公司按照电力交易机构出具的结算依据与电网企业进行结算。</w:t>
      </w:r>
      <w:r>
        <w:rPr>
          <w:rFonts w:hint="eastAsia" w:cs="Times New Roman"/>
          <w:szCs w:val="30"/>
          <w:highlight w:val="none"/>
          <w:lang w:val="en-US" w:eastAsia="zh-CN"/>
        </w:rPr>
        <w:t>经营主体</w:t>
      </w:r>
      <w:r>
        <w:rPr>
          <w:rFonts w:hint="default" w:ascii="Times New Roman" w:hAnsi="Times New Roman" w:cs="Times New Roman"/>
          <w:szCs w:val="30"/>
          <w:highlight w:val="none"/>
          <w:lang w:val="en-US" w:eastAsia="zh-CN"/>
        </w:rPr>
        <w:t xml:space="preserve">可自行约定结算方式，未与电网企业签订委托代理结算业务，电网企业不承担欠费风险。 </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电力用户的基本电价、政府性基金及附加、峰谷分时电价、功率因数调整等按照电压等级和类别按实收取，由电网企业根据国家以及所在省区有关规定进行结算。</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 xml:space="preserve"> 广州电力交易中心可依据有关政策向参与南方区域跨区跨省电力中长期交易的购售电主体收取交易服务费，具体标准按照经广州电力交易中心市场管理委员会审议通过的收费标准执行。</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45" w:name="_Toc88663440"/>
      <w:bookmarkStart w:id="46" w:name="_Toc26830"/>
      <w:r>
        <w:rPr>
          <w:rFonts w:hint="default" w:ascii="Times New Roman" w:hAnsi="Times New Roman" w:eastAsia="黑体" w:cs="Times New Roman"/>
          <w:bCs w:val="0"/>
          <w:kern w:val="2"/>
          <w:sz w:val="30"/>
          <w:szCs w:val="30"/>
          <w:highlight w:val="none"/>
        </w:rPr>
        <w:t>信息披露</w:t>
      </w:r>
      <w:bookmarkEnd w:id="45"/>
      <w:bookmarkEnd w:id="46"/>
    </w:p>
    <w:p>
      <w:pPr>
        <w:numPr>
          <w:ilvl w:val="0"/>
          <w:numId w:val="1"/>
        </w:numPr>
        <w:overflowPunct w:val="0"/>
        <w:snapToGrid w:val="0"/>
        <w:spacing w:line="560" w:lineRule="exact"/>
        <w:ind w:firstLineChars="0"/>
        <w:rPr>
          <w:rFonts w:hint="eastAsia"/>
          <w:szCs w:val="30"/>
        </w:rPr>
      </w:pPr>
      <w:r>
        <w:rPr>
          <w:rFonts w:hint="eastAsia"/>
          <w:szCs w:val="30"/>
        </w:rPr>
        <w:t>按照信息公开范围，电力市场信息分为公众信息、公开信息、特定信息三类。</w:t>
      </w:r>
    </w:p>
    <w:p>
      <w:pPr>
        <w:numPr>
          <w:ilvl w:val="-1"/>
          <w:numId w:val="0"/>
        </w:numPr>
        <w:overflowPunct w:val="0"/>
        <w:snapToGrid w:val="0"/>
        <w:spacing w:line="560" w:lineRule="exact"/>
        <w:ind w:left="0" w:firstLine="600" w:firstLineChars="0"/>
        <w:rPr>
          <w:rFonts w:hint="default"/>
          <w:szCs w:val="30"/>
          <w:highlight w:val="none"/>
        </w:rPr>
      </w:pPr>
      <w:r>
        <w:rPr>
          <w:rFonts w:hint="default"/>
          <w:szCs w:val="30"/>
          <w:highlight w:val="none"/>
        </w:rPr>
        <w:t>（一）公众信息：是指向社会公众披露的信息。</w:t>
      </w:r>
    </w:p>
    <w:p>
      <w:pPr>
        <w:numPr>
          <w:ilvl w:val="-1"/>
          <w:numId w:val="0"/>
        </w:numPr>
        <w:overflowPunct w:val="0"/>
        <w:snapToGrid w:val="0"/>
        <w:spacing w:line="560" w:lineRule="exact"/>
        <w:ind w:left="0" w:firstLine="600" w:firstLineChars="0"/>
        <w:rPr>
          <w:rFonts w:hint="default"/>
          <w:szCs w:val="30"/>
          <w:highlight w:val="none"/>
        </w:rPr>
      </w:pPr>
      <w:r>
        <w:rPr>
          <w:rFonts w:hint="default"/>
          <w:szCs w:val="30"/>
          <w:highlight w:val="none"/>
        </w:rPr>
        <w:t>（二）公开信息：是指向有关市场成员披露的信息。</w:t>
      </w:r>
    </w:p>
    <w:p>
      <w:pPr>
        <w:numPr>
          <w:ilvl w:val="-1"/>
          <w:numId w:val="0"/>
        </w:numPr>
        <w:overflowPunct w:val="0"/>
        <w:snapToGrid w:val="0"/>
        <w:spacing w:line="560" w:lineRule="exact"/>
        <w:ind w:left="0" w:firstLine="600" w:firstLineChars="0"/>
        <w:rPr>
          <w:szCs w:val="30"/>
          <w:highlight w:val="none"/>
        </w:rPr>
      </w:pPr>
      <w:r>
        <w:rPr>
          <w:rFonts w:hint="default"/>
          <w:szCs w:val="30"/>
          <w:highlight w:val="none"/>
        </w:rPr>
        <w:t>（三）特定信息：是指根据电力市场运营需要向特定市场成员披露的信息。</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公众信息包括但不限于</w:t>
      </w:r>
      <w:r>
        <w:rPr>
          <w:rFonts w:hint="default" w:ascii="Times New Roman" w:hAnsi="Times New Roman" w:cs="Times New Roman"/>
          <w:szCs w:val="30"/>
          <w:highlight w:val="none"/>
          <w:lang w:eastAsia="zh-CN"/>
        </w:rPr>
        <w:t>：</w:t>
      </w:r>
    </w:p>
    <w:p>
      <w:pPr>
        <w:overflowPunct w:val="0"/>
        <w:snapToGrid w:val="0"/>
        <w:spacing w:line="560" w:lineRule="exact"/>
        <w:ind w:firstLine="600"/>
        <w:rPr>
          <w:rFonts w:hint="default"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（一）电力</w:t>
      </w:r>
      <w:r>
        <w:rPr>
          <w:rFonts w:hint="eastAsia" w:cs="Times New Roman"/>
          <w:szCs w:val="30"/>
          <w:highlight w:val="none"/>
          <w:lang w:eastAsia="zh-CN"/>
        </w:rPr>
        <w:t>市场公开</w:t>
      </w:r>
      <w:r>
        <w:rPr>
          <w:rFonts w:hint="default" w:ascii="Times New Roman" w:hAnsi="Times New Roman" w:cs="Times New Roman"/>
          <w:szCs w:val="30"/>
          <w:highlight w:val="none"/>
        </w:rPr>
        <w:t>适用的法律、法规以及相关政策文件，电力交易业务流程、管理办法等</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（二）</w:t>
      </w:r>
      <w:r>
        <w:rPr>
          <w:rFonts w:hint="eastAsia" w:cs="Times New Roman"/>
          <w:szCs w:val="30"/>
          <w:highlight w:val="none"/>
          <w:lang w:eastAsia="zh-CN"/>
        </w:rPr>
        <w:t>政府定价信息</w:t>
      </w:r>
      <w:r>
        <w:rPr>
          <w:rFonts w:hint="default" w:ascii="Times New Roman" w:hAnsi="Times New Roman" w:cs="Times New Roman"/>
          <w:szCs w:val="30"/>
          <w:highlight w:val="none"/>
        </w:rPr>
        <w:t>、输配电价、各类政府性基金及附加、以及其他电力交易相关收费标准等</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（三）电力市场运行基本情况，包括各类</w:t>
      </w:r>
      <w:r>
        <w:rPr>
          <w:rFonts w:hint="eastAsia" w:cs="Times New Roman"/>
          <w:szCs w:val="30"/>
          <w:highlight w:val="none"/>
          <w:lang w:eastAsia="zh-CN"/>
        </w:rPr>
        <w:t>经营主体</w:t>
      </w:r>
      <w:r>
        <w:rPr>
          <w:rFonts w:hint="default" w:ascii="Times New Roman" w:hAnsi="Times New Roman" w:cs="Times New Roman"/>
          <w:szCs w:val="30"/>
          <w:highlight w:val="none"/>
        </w:rPr>
        <w:t>注册情况，电力交易总体成交电量、价格情况等</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（四）电网运行基本情况，包括各类型发电机组装机总体情况、发用电负荷总体情况等</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（五）其他政策法规要求向社会公众公开的信息。</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公开信息包括但不限于</w:t>
      </w:r>
      <w:r>
        <w:rPr>
          <w:rFonts w:hint="default" w:ascii="Times New Roman" w:hAnsi="Times New Roman" w:cs="Times New Roman"/>
          <w:szCs w:val="30"/>
          <w:highlight w:val="none"/>
          <w:lang w:eastAsia="zh-CN"/>
        </w:rPr>
        <w:t>：</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w:t>
      </w:r>
      <w:r>
        <w:rPr>
          <w:rFonts w:hint="eastAsia" w:cs="Times New Roman"/>
          <w:szCs w:val="30"/>
          <w:highlight w:val="none"/>
          <w:lang w:eastAsia="zh-CN"/>
        </w:rPr>
        <w:t>一</w:t>
      </w:r>
      <w:r>
        <w:rPr>
          <w:rFonts w:hint="default" w:ascii="Times New Roman" w:hAnsi="Times New Roman" w:cs="Times New Roman"/>
          <w:szCs w:val="30"/>
          <w:highlight w:val="none"/>
        </w:rPr>
        <w:t>）发电设备信息，包括检修停运情况，项目投产（退役）计划、投产（退役）情况等</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w:t>
      </w:r>
      <w:r>
        <w:rPr>
          <w:rFonts w:hint="eastAsia" w:cs="Times New Roman"/>
          <w:szCs w:val="30"/>
          <w:highlight w:val="none"/>
          <w:lang w:eastAsia="zh-CN"/>
        </w:rPr>
        <w:t>二</w:t>
      </w:r>
      <w:r>
        <w:rPr>
          <w:rFonts w:hint="default" w:ascii="Times New Roman" w:hAnsi="Times New Roman" w:cs="Times New Roman"/>
          <w:szCs w:val="30"/>
          <w:highlight w:val="none"/>
        </w:rPr>
        <w:t>）电网运行信息，电网安全运行的主要约束条件、电网重要运行方式的变化情况，电网各断面（设备）、各路径可用输电容量，必开必停机组组合和发电量需求，以及导致断面（设备）限额变化的停电检修，需求侧响应情况等</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w:t>
      </w:r>
      <w:r>
        <w:rPr>
          <w:rFonts w:hint="eastAsia" w:cs="Times New Roman"/>
          <w:szCs w:val="30"/>
          <w:highlight w:val="none"/>
          <w:lang w:eastAsia="zh-CN"/>
        </w:rPr>
        <w:t>三</w:t>
      </w:r>
      <w:r>
        <w:rPr>
          <w:rFonts w:hint="default" w:ascii="Times New Roman" w:hAnsi="Times New Roman" w:cs="Times New Roman"/>
          <w:szCs w:val="30"/>
          <w:highlight w:val="none"/>
        </w:rPr>
        <w:t>）市场交易类信息，包括年、季、月、周以及多日电力电量平衡预测分析情况，交易总电量安排、计划分解，各类交易的总成交电量和成交均价，安全校核结果以及原因等</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w:t>
      </w:r>
      <w:r>
        <w:rPr>
          <w:rFonts w:hint="eastAsia" w:cs="Times New Roman"/>
          <w:szCs w:val="30"/>
          <w:highlight w:val="none"/>
          <w:lang w:eastAsia="zh-CN"/>
        </w:rPr>
        <w:t>四</w:t>
      </w:r>
      <w:r>
        <w:rPr>
          <w:rFonts w:hint="default" w:ascii="Times New Roman" w:hAnsi="Times New Roman" w:cs="Times New Roman"/>
          <w:szCs w:val="30"/>
          <w:highlight w:val="none"/>
        </w:rPr>
        <w:t>）结算类信息，包括合同结算总体完成情况，分摊</w:t>
      </w:r>
      <w:r>
        <w:rPr>
          <w:rFonts w:hint="eastAsia" w:cs="Times New Roman"/>
          <w:szCs w:val="30"/>
          <w:highlight w:val="none"/>
          <w:lang w:eastAsia="zh-CN"/>
        </w:rPr>
        <w:t>和分享</w:t>
      </w:r>
      <w:r>
        <w:rPr>
          <w:rFonts w:hint="default" w:ascii="Times New Roman" w:hAnsi="Times New Roman" w:cs="Times New Roman"/>
          <w:szCs w:val="30"/>
          <w:highlight w:val="none"/>
        </w:rPr>
        <w:t>情况</w:t>
      </w:r>
      <w:r>
        <w:rPr>
          <w:rFonts w:hint="eastAsia" w:cs="Times New Roman"/>
          <w:szCs w:val="30"/>
          <w:highlight w:val="none"/>
          <w:lang w:eastAsia="zh-CN"/>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eastAsia" w:cs="Times New Roman"/>
          <w:szCs w:val="30"/>
          <w:highlight w:val="none"/>
          <w:lang w:eastAsia="zh-CN"/>
        </w:rPr>
        <w:t>特定</w:t>
      </w:r>
      <w:r>
        <w:rPr>
          <w:rFonts w:hint="default" w:ascii="Times New Roman" w:hAnsi="Times New Roman" w:cs="Times New Roman"/>
          <w:szCs w:val="30"/>
          <w:highlight w:val="none"/>
        </w:rPr>
        <w:t>信息包括但不限于</w:t>
      </w:r>
      <w:r>
        <w:rPr>
          <w:rFonts w:hint="default" w:ascii="Times New Roman" w:hAnsi="Times New Roman" w:cs="Times New Roman"/>
          <w:szCs w:val="30"/>
          <w:highlight w:val="none"/>
          <w:lang w:eastAsia="zh-CN"/>
        </w:rPr>
        <w:t>：</w:t>
      </w:r>
    </w:p>
    <w:p>
      <w:pPr>
        <w:overflowPunct w:val="0"/>
        <w:snapToGrid w:val="0"/>
        <w:spacing w:line="560" w:lineRule="exact"/>
        <w:ind w:firstLine="600"/>
        <w:rPr>
          <w:rFonts w:hint="eastAsia"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（一）发电机组的机组特性参数、性能指标，电力用户用电特性参数和指标</w:t>
      </w:r>
      <w:r>
        <w:rPr>
          <w:rFonts w:hint="eastAsia" w:cs="Times New Roman"/>
          <w:szCs w:val="30"/>
          <w:highlight w:val="none"/>
          <w:lang w:eastAsia="zh-CN"/>
        </w:rPr>
        <w:t>。</w:t>
      </w:r>
    </w:p>
    <w:p>
      <w:pPr>
        <w:overflowPunct w:val="0"/>
        <w:snapToGrid w:val="0"/>
        <w:spacing w:line="560" w:lineRule="exact"/>
        <w:ind w:firstLine="600"/>
        <w:rPr>
          <w:rFonts w:hint="eastAsia"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（二）各</w:t>
      </w:r>
      <w:r>
        <w:rPr>
          <w:rFonts w:hint="eastAsia" w:cs="Times New Roman"/>
          <w:szCs w:val="30"/>
          <w:highlight w:val="none"/>
          <w:lang w:eastAsia="zh-CN"/>
        </w:rPr>
        <w:t>经营主体</w:t>
      </w:r>
      <w:r>
        <w:rPr>
          <w:rFonts w:hint="default" w:ascii="Times New Roman" w:hAnsi="Times New Roman" w:cs="Times New Roman"/>
          <w:szCs w:val="30"/>
          <w:highlight w:val="none"/>
        </w:rPr>
        <w:t>的市场化交易申报电量、申报电价等交易申报信息</w:t>
      </w:r>
      <w:r>
        <w:rPr>
          <w:rFonts w:hint="eastAsia" w:cs="Times New Roman"/>
          <w:szCs w:val="30"/>
          <w:highlight w:val="none"/>
          <w:lang w:eastAsia="zh-CN"/>
        </w:rPr>
        <w:t>。</w:t>
      </w:r>
    </w:p>
    <w:p>
      <w:pPr>
        <w:overflowPunct w:val="0"/>
        <w:snapToGrid w:val="0"/>
        <w:spacing w:line="560" w:lineRule="exact"/>
        <w:ind w:firstLine="600"/>
        <w:rPr>
          <w:rFonts w:hint="eastAsia" w:ascii="Times New Roman" w:hAnsi="Times New Roman" w:eastAsia="仿宋_GB2312" w:cs="Times New Roman"/>
          <w:szCs w:val="30"/>
          <w:highlight w:val="none"/>
          <w:lang w:eastAsia="zh-CN"/>
        </w:rPr>
      </w:pPr>
      <w:r>
        <w:rPr>
          <w:rFonts w:hint="default" w:ascii="Times New Roman" w:hAnsi="Times New Roman" w:cs="Times New Roman"/>
          <w:szCs w:val="30"/>
          <w:highlight w:val="none"/>
        </w:rPr>
        <w:t>（三）各</w:t>
      </w:r>
      <w:r>
        <w:rPr>
          <w:rFonts w:hint="eastAsia" w:cs="Times New Roman"/>
          <w:szCs w:val="30"/>
          <w:highlight w:val="none"/>
          <w:lang w:eastAsia="zh-CN"/>
        </w:rPr>
        <w:t>经营主体</w:t>
      </w:r>
      <w:r>
        <w:rPr>
          <w:rFonts w:hint="default" w:ascii="Times New Roman" w:hAnsi="Times New Roman" w:cs="Times New Roman"/>
          <w:szCs w:val="30"/>
          <w:highlight w:val="none"/>
        </w:rPr>
        <w:t>的各类市场化交易的成交电量以及成交价格等信息</w:t>
      </w:r>
      <w:r>
        <w:rPr>
          <w:rFonts w:hint="eastAsia" w:cs="Times New Roman"/>
          <w:szCs w:val="30"/>
          <w:highlight w:val="none"/>
          <w:lang w:eastAsia="zh-CN"/>
        </w:rPr>
        <w:t>。</w:t>
      </w:r>
    </w:p>
    <w:p>
      <w:pPr>
        <w:overflowPunct w:val="0"/>
        <w:snapToGrid w:val="0"/>
        <w:spacing w:line="560" w:lineRule="exact"/>
        <w:ind w:firstLine="600"/>
        <w:rPr>
          <w:rFonts w:hint="default" w:ascii="Times New Roman" w:hAnsi="Times New Roman" w:cs="Times New Roman"/>
          <w:szCs w:val="30"/>
          <w:highlight w:val="none"/>
        </w:rPr>
      </w:pPr>
      <w:r>
        <w:rPr>
          <w:rFonts w:hint="default" w:ascii="Times New Roman" w:hAnsi="Times New Roman" w:cs="Times New Roman"/>
          <w:szCs w:val="30"/>
          <w:highlight w:val="none"/>
        </w:rPr>
        <w:t>（四）各</w:t>
      </w:r>
      <w:r>
        <w:rPr>
          <w:rFonts w:hint="eastAsia" w:cs="Times New Roman"/>
          <w:szCs w:val="30"/>
          <w:highlight w:val="none"/>
          <w:lang w:eastAsia="zh-CN"/>
        </w:rPr>
        <w:t>经营主体</w:t>
      </w:r>
      <w:r>
        <w:rPr>
          <w:rFonts w:hint="default" w:ascii="Times New Roman" w:hAnsi="Times New Roman" w:cs="Times New Roman"/>
          <w:szCs w:val="30"/>
          <w:highlight w:val="none"/>
        </w:rPr>
        <w:t>的市场化交易合同以及结算明细信息。</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市场成员应当遵循</w:t>
      </w:r>
      <w:r>
        <w:rPr>
          <w:rFonts w:hint="eastAsia" w:cs="Times New Roman"/>
          <w:szCs w:val="30"/>
          <w:highlight w:val="none"/>
          <w:lang w:eastAsia="zh-CN"/>
        </w:rPr>
        <w:t>安全</w:t>
      </w:r>
      <w:r>
        <w:rPr>
          <w:rFonts w:hint="default" w:ascii="Times New Roman" w:hAnsi="Times New Roman" w:cs="Times New Roman"/>
          <w:szCs w:val="30"/>
          <w:highlight w:val="none"/>
        </w:rPr>
        <w:t>、真实、准确、</w:t>
      </w:r>
      <w:r>
        <w:rPr>
          <w:rFonts w:hint="eastAsia" w:cs="Times New Roman"/>
          <w:szCs w:val="30"/>
          <w:highlight w:val="none"/>
          <w:lang w:eastAsia="zh-CN"/>
        </w:rPr>
        <w:t>完整、及时、易于使用</w:t>
      </w:r>
      <w:r>
        <w:rPr>
          <w:rFonts w:hint="default" w:ascii="Times New Roman" w:hAnsi="Times New Roman" w:cs="Times New Roman"/>
          <w:szCs w:val="30"/>
          <w:highlight w:val="none"/>
        </w:rPr>
        <w:t>的原则，披露电力市场信息。对其披露信息的真实性</w:t>
      </w:r>
      <w:r>
        <w:rPr>
          <w:rFonts w:hint="eastAsia" w:cs="Times New Roman"/>
          <w:szCs w:val="30"/>
          <w:highlight w:val="none"/>
          <w:lang w:eastAsia="zh-CN"/>
        </w:rPr>
        <w:t>、准确性、完整性、及时性</w:t>
      </w:r>
      <w:r>
        <w:rPr>
          <w:rFonts w:hint="default" w:ascii="Times New Roman" w:hAnsi="Times New Roman" w:cs="Times New Roman"/>
          <w:szCs w:val="30"/>
          <w:highlight w:val="none"/>
        </w:rPr>
        <w:t>负责。对于违反信息披露有关规定的</w:t>
      </w:r>
      <w:r>
        <w:rPr>
          <w:rFonts w:hint="eastAsia" w:cs="Times New Roman"/>
          <w:szCs w:val="30"/>
          <w:highlight w:val="none"/>
          <w:lang w:eastAsia="zh-CN"/>
        </w:rPr>
        <w:t>经营主体</w:t>
      </w:r>
      <w:r>
        <w:rPr>
          <w:rFonts w:hint="default" w:ascii="Times New Roman" w:hAnsi="Times New Roman" w:cs="Times New Roman"/>
          <w:szCs w:val="30"/>
          <w:highlight w:val="none"/>
        </w:rPr>
        <w:t>，</w:t>
      </w:r>
      <w:r>
        <w:rPr>
          <w:rFonts w:hint="eastAsia" w:cs="Times New Roman"/>
          <w:szCs w:val="30"/>
          <w:highlight w:val="none"/>
          <w:lang w:eastAsia="zh-CN"/>
        </w:rPr>
        <w:t>采取提醒信息披露主体、报送国家能源局或其派出机构等方式进行管理</w:t>
      </w:r>
      <w:r>
        <w:rPr>
          <w:rFonts w:hint="default" w:ascii="Times New Roman" w:hAnsi="Times New Roman" w:cs="Times New Roman"/>
          <w:szCs w:val="30"/>
          <w:highlight w:val="none"/>
        </w:rPr>
        <w:t>。</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广州电力交易中心、相关电力调度机构应当公平对待</w:t>
      </w:r>
      <w:r>
        <w:rPr>
          <w:rFonts w:hint="eastAsia" w:cs="Times New Roman"/>
          <w:szCs w:val="30"/>
          <w:highlight w:val="none"/>
          <w:lang w:eastAsia="zh-CN"/>
        </w:rPr>
        <w:t>经营主体</w:t>
      </w:r>
      <w:r>
        <w:rPr>
          <w:rFonts w:hint="default" w:ascii="Times New Roman" w:hAnsi="Times New Roman" w:cs="Times New Roman"/>
          <w:szCs w:val="30"/>
          <w:highlight w:val="none"/>
        </w:rPr>
        <w:t>，无歧视披露公众信息和公开信息。市场成员严禁超职责范围获取私有信息，不得泄露影响公平竞争和涉及用户隐私的有关信息。</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广州电力交易中心负责市场信息的管理和发布，会同相关电力调度机构及时向社会和</w:t>
      </w:r>
      <w:r>
        <w:rPr>
          <w:rFonts w:hint="eastAsia" w:cs="Times New Roman"/>
          <w:szCs w:val="30"/>
          <w:highlight w:val="none"/>
          <w:lang w:eastAsia="zh-CN"/>
        </w:rPr>
        <w:t>经营主体</w:t>
      </w:r>
      <w:r>
        <w:rPr>
          <w:rFonts w:hint="default" w:ascii="Times New Roman" w:hAnsi="Times New Roman" w:cs="Times New Roman"/>
          <w:szCs w:val="30"/>
          <w:highlight w:val="none"/>
        </w:rPr>
        <w:t>、政府有关部门披露和发布市场相关信息。南方区域内电力调度机构应当及时向广州电力交易中心提供支撑市场化交易以及市场服务所需的相关数据，按照国家网络安全有关规定实现与电力交易机构的数据交互。</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广州电力交易中心负责管理和维护电力交易平台、门户网站，在确保安全的基础上，为其他市场成员披露信息提供便利。电力交易平台、电力交易机构网站安全等级应当满足国家信息安全三级等级防护要求。</w:t>
      </w:r>
    </w:p>
    <w:p>
      <w:pPr>
        <w:numPr>
          <w:ilvl w:val="0"/>
          <w:numId w:val="1"/>
        </w:numPr>
        <w:overflowPunct w:val="0"/>
        <w:snapToGrid w:val="0"/>
        <w:spacing w:line="560" w:lineRule="exact"/>
        <w:ind w:firstLineChars="0"/>
        <w:rPr>
          <w:rFonts w:hint="default" w:ascii="Times New Roman" w:hAnsi="Times New Roman" w:cs="Times New Roman"/>
          <w:szCs w:val="30"/>
          <w:highlight w:val="none"/>
          <w:lang w:val="zh-CN"/>
        </w:rPr>
      </w:pPr>
      <w:r>
        <w:rPr>
          <w:rFonts w:hint="default" w:ascii="Times New Roman" w:hAnsi="Times New Roman" w:cs="Times New Roman"/>
          <w:szCs w:val="30"/>
          <w:highlight w:val="none"/>
          <w:lang w:val="en-US" w:eastAsia="zh-CN"/>
        </w:rPr>
        <w:t xml:space="preserve">  </w:t>
      </w:r>
      <w:r>
        <w:rPr>
          <w:rFonts w:hint="eastAsia" w:cs="Times New Roman"/>
          <w:szCs w:val="30"/>
          <w:highlight w:val="none"/>
          <w:lang w:eastAsia="zh-CN"/>
        </w:rPr>
        <w:t>经营主体</w:t>
      </w:r>
      <w:r>
        <w:rPr>
          <w:rFonts w:hint="default" w:ascii="Times New Roman" w:hAnsi="Times New Roman" w:cs="Times New Roman"/>
          <w:szCs w:val="30"/>
          <w:highlight w:val="none"/>
        </w:rPr>
        <w:t>如对披露的相关信息有异议及疑问，可向广州电力交易中心及相关电力调度机构提出，由广州电力交易中心会同相关电力调度机构负责解释。</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47" w:name="_Toc88663441"/>
      <w:bookmarkStart w:id="48" w:name="_Toc24866"/>
      <w:r>
        <w:rPr>
          <w:rFonts w:hint="default" w:ascii="Times New Roman" w:hAnsi="Times New Roman" w:eastAsia="黑体" w:cs="Times New Roman"/>
          <w:bCs w:val="0"/>
          <w:kern w:val="2"/>
          <w:sz w:val="30"/>
          <w:szCs w:val="30"/>
          <w:highlight w:val="none"/>
        </w:rPr>
        <w:t>市场监控和风险防控</w:t>
      </w:r>
      <w:bookmarkEnd w:id="47"/>
      <w:bookmarkEnd w:id="48"/>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 xml:space="preserve">  </w:t>
      </w:r>
      <w:r>
        <w:rPr>
          <w:rFonts w:hint="default" w:ascii="Times New Roman" w:hAnsi="Times New Roman" w:cs="Times New Roman"/>
          <w:szCs w:val="30"/>
          <w:highlight w:val="none"/>
        </w:rPr>
        <w:t>广州电力交易中心、南网总调根据有关规定，履行市场运营、市场监控和风险防控等职责，按照“谁运营、谁防范，谁运营、谁监控”的原则，采取有效风险防控措施</w:t>
      </w:r>
      <w:r>
        <w:rPr>
          <w:rFonts w:hint="eastAsia" w:cs="Times New Roman"/>
          <w:szCs w:val="30"/>
          <w:highlight w:val="none"/>
          <w:lang w:val="en-US" w:eastAsia="zh-CN"/>
        </w:rPr>
        <w:t>及时</w:t>
      </w:r>
      <w:r>
        <w:rPr>
          <w:rFonts w:hint="default" w:ascii="Times New Roman" w:hAnsi="Times New Roman" w:cs="Times New Roman"/>
          <w:szCs w:val="30"/>
          <w:highlight w:val="none"/>
        </w:rPr>
        <w:t>向风险涉及相关省份的地政府机构及派出机构告知或通报</w:t>
      </w:r>
      <w:r>
        <w:rPr>
          <w:rFonts w:hint="eastAsia" w:cs="Times New Roman"/>
          <w:szCs w:val="30"/>
          <w:highlight w:val="none"/>
          <w:lang w:eastAsia="zh-CN"/>
        </w:rPr>
        <w:t>；</w:t>
      </w:r>
      <w:r>
        <w:rPr>
          <w:rFonts w:hint="default" w:ascii="Times New Roman" w:hAnsi="Times New Roman" w:cs="Times New Roman"/>
          <w:szCs w:val="30"/>
          <w:highlight w:val="none"/>
        </w:rPr>
        <w:t>加强对市场运营情况的监控分析，按照有关规定定期向国家能源局及南方区域各相关派出机构、南方五省区政府电力管理部门提交市场监控分析报告。</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 xml:space="preserve">  </w:t>
      </w:r>
      <w:r>
        <w:rPr>
          <w:rFonts w:hint="default" w:ascii="Times New Roman" w:hAnsi="Times New Roman" w:cs="Times New Roman"/>
          <w:szCs w:val="30"/>
          <w:highlight w:val="none"/>
        </w:rPr>
        <w:t>当出现以下情况时，电力交易机构、电力调度机构可依法依规采取市场干预措施</w:t>
      </w:r>
      <w:r>
        <w:rPr>
          <w:rFonts w:hint="default" w:ascii="Times New Roman" w:hAnsi="Times New Roman" w:cs="Times New Roman"/>
          <w:szCs w:val="30"/>
          <w:highlight w:val="none"/>
          <w:lang w:eastAsia="zh-CN"/>
        </w:rPr>
        <w:t>：</w:t>
      </w:r>
    </w:p>
    <w:p>
      <w:pPr>
        <w:numPr>
          <w:ilvl w:val="0"/>
          <w:numId w:val="0"/>
        </w:numPr>
        <w:overflowPunct w:val="0"/>
        <w:snapToGrid w:val="0"/>
        <w:spacing w:line="560" w:lineRule="exact"/>
        <w:ind w:firstLine="420"/>
        <w:rPr>
          <w:rFonts w:hint="default" w:ascii="Times New Roman" w:hAnsi="Times New Roman" w:eastAsia="仿宋_GB2312" w:cs="Times New Roman"/>
          <w:szCs w:val="30"/>
          <w:highlight w:val="none"/>
          <w:lang w:eastAsia="zh-CN"/>
        </w:rPr>
      </w:pPr>
      <w:r>
        <w:rPr>
          <w:rFonts w:hint="default" w:ascii="Times New Roman" w:hAnsi="Times New Roman" w:cs="Times New Roman"/>
          <w:color w:val="000000"/>
          <w:szCs w:val="30"/>
          <w:highlight w:val="none"/>
        </w:rPr>
        <w:t>（一）</w:t>
      </w:r>
      <w:r>
        <w:rPr>
          <w:rFonts w:hint="default" w:ascii="Times New Roman" w:hAnsi="Times New Roman" w:cs="Times New Roman"/>
          <w:szCs w:val="30"/>
          <w:highlight w:val="none"/>
        </w:rPr>
        <w:t>电力系统内发生重大事故危及电网安全的</w:t>
      </w:r>
      <w:r>
        <w:rPr>
          <w:rFonts w:hint="eastAsia" w:cs="Times New Roman"/>
          <w:szCs w:val="30"/>
          <w:highlight w:val="none"/>
          <w:lang w:eastAsia="zh-CN"/>
        </w:rPr>
        <w:t>。</w:t>
      </w:r>
    </w:p>
    <w:p>
      <w:pPr>
        <w:numPr>
          <w:ilvl w:val="0"/>
          <w:numId w:val="0"/>
        </w:numPr>
        <w:overflowPunct w:val="0"/>
        <w:snapToGrid w:val="0"/>
        <w:spacing w:line="560" w:lineRule="exact"/>
        <w:ind w:firstLine="420"/>
        <w:rPr>
          <w:rFonts w:hint="default" w:ascii="Times New Roman" w:hAnsi="Times New Roman" w:eastAsia="仿宋_GB2312" w:cs="Times New Roman"/>
          <w:szCs w:val="30"/>
          <w:highlight w:val="none"/>
          <w:lang w:eastAsia="zh-CN"/>
        </w:rPr>
      </w:pPr>
      <w:r>
        <w:rPr>
          <w:rFonts w:hint="default" w:ascii="Times New Roman" w:hAnsi="Times New Roman" w:cs="Times New Roman"/>
          <w:color w:val="000000"/>
          <w:szCs w:val="30"/>
          <w:highlight w:val="none"/>
        </w:rPr>
        <w:t>（二）</w:t>
      </w:r>
      <w:r>
        <w:rPr>
          <w:rFonts w:hint="default" w:ascii="Times New Roman" w:hAnsi="Times New Roman" w:cs="Times New Roman"/>
          <w:szCs w:val="30"/>
          <w:highlight w:val="none"/>
        </w:rPr>
        <w:t>发生恶意串通操纵市场的行为，并严重影响交易结果的</w:t>
      </w:r>
      <w:r>
        <w:rPr>
          <w:rFonts w:hint="eastAsia" w:cs="Times New Roman"/>
          <w:szCs w:val="30"/>
          <w:highlight w:val="none"/>
          <w:lang w:eastAsia="zh-CN"/>
        </w:rPr>
        <w:t>。</w:t>
      </w:r>
    </w:p>
    <w:p>
      <w:pPr>
        <w:numPr>
          <w:ilvl w:val="0"/>
          <w:numId w:val="0"/>
        </w:numPr>
        <w:overflowPunct w:val="0"/>
        <w:snapToGrid w:val="0"/>
        <w:spacing w:line="560" w:lineRule="exact"/>
        <w:ind w:firstLine="420"/>
        <w:rPr>
          <w:rFonts w:hint="default" w:ascii="Times New Roman" w:hAnsi="Times New Roman" w:eastAsia="仿宋_GB2312" w:cs="Times New Roman"/>
          <w:szCs w:val="30"/>
          <w:highlight w:val="none"/>
          <w:lang w:eastAsia="zh-CN"/>
        </w:rPr>
      </w:pPr>
      <w:r>
        <w:rPr>
          <w:rFonts w:hint="default" w:ascii="Times New Roman" w:hAnsi="Times New Roman" w:cs="Times New Roman"/>
          <w:color w:val="000000"/>
          <w:szCs w:val="30"/>
          <w:highlight w:val="none"/>
        </w:rPr>
        <w:t>（三）</w:t>
      </w:r>
      <w:r>
        <w:rPr>
          <w:rFonts w:hint="default" w:ascii="Times New Roman" w:hAnsi="Times New Roman" w:cs="Times New Roman"/>
          <w:szCs w:val="30"/>
          <w:highlight w:val="none"/>
        </w:rPr>
        <w:t>市场技术支持系统发生重大故障，导致交易无法正常进行的</w:t>
      </w:r>
      <w:r>
        <w:rPr>
          <w:rFonts w:hint="eastAsia" w:cs="Times New Roman"/>
          <w:szCs w:val="30"/>
          <w:highlight w:val="none"/>
          <w:lang w:eastAsia="zh-CN"/>
        </w:rPr>
        <w:t>。</w:t>
      </w:r>
    </w:p>
    <w:p>
      <w:pPr>
        <w:numPr>
          <w:ilvl w:val="0"/>
          <w:numId w:val="0"/>
        </w:numPr>
        <w:overflowPunct w:val="0"/>
        <w:snapToGrid w:val="0"/>
        <w:spacing w:line="560" w:lineRule="exact"/>
        <w:ind w:firstLine="420"/>
        <w:rPr>
          <w:rFonts w:hint="default" w:ascii="Times New Roman" w:hAnsi="Times New Roman" w:eastAsia="仿宋_GB2312" w:cs="Times New Roman"/>
          <w:szCs w:val="30"/>
          <w:highlight w:val="none"/>
          <w:lang w:eastAsia="zh-CN"/>
        </w:rPr>
      </w:pPr>
      <w:r>
        <w:rPr>
          <w:rFonts w:hint="default" w:ascii="Times New Roman" w:hAnsi="Times New Roman" w:cs="Times New Roman"/>
          <w:color w:val="000000"/>
          <w:szCs w:val="30"/>
          <w:highlight w:val="none"/>
        </w:rPr>
        <w:t>（四）</w:t>
      </w:r>
      <w:r>
        <w:rPr>
          <w:rFonts w:hint="default" w:ascii="Times New Roman" w:hAnsi="Times New Roman" w:cs="Times New Roman"/>
          <w:szCs w:val="30"/>
          <w:highlight w:val="none"/>
        </w:rPr>
        <w:t>因不可抗力电力市场化交易不能正常开展的</w:t>
      </w:r>
      <w:r>
        <w:rPr>
          <w:rFonts w:hint="eastAsia" w:cs="Times New Roman"/>
          <w:szCs w:val="30"/>
          <w:highlight w:val="none"/>
          <w:lang w:eastAsia="zh-CN"/>
        </w:rPr>
        <w:t>。</w:t>
      </w:r>
    </w:p>
    <w:p>
      <w:pPr>
        <w:numPr>
          <w:ilvl w:val="0"/>
          <w:numId w:val="0"/>
        </w:numPr>
        <w:overflowPunct w:val="0"/>
        <w:snapToGrid w:val="0"/>
        <w:spacing w:line="560" w:lineRule="exact"/>
        <w:ind w:firstLine="420"/>
        <w:rPr>
          <w:rFonts w:hint="default" w:ascii="Times New Roman" w:hAnsi="Times New Roman" w:cs="Times New Roman"/>
          <w:szCs w:val="30"/>
          <w:highlight w:val="none"/>
        </w:rPr>
      </w:pPr>
      <w:r>
        <w:rPr>
          <w:rFonts w:hint="default" w:ascii="Times New Roman" w:hAnsi="Times New Roman" w:cs="Times New Roman"/>
          <w:color w:val="000000"/>
          <w:szCs w:val="30"/>
          <w:highlight w:val="none"/>
        </w:rPr>
        <w:t>（</w:t>
      </w:r>
      <w:r>
        <w:rPr>
          <w:rFonts w:hint="default" w:ascii="Times New Roman" w:hAnsi="Times New Roman" w:cs="Times New Roman"/>
          <w:color w:val="000000"/>
          <w:szCs w:val="30"/>
          <w:highlight w:val="none"/>
          <w:lang w:val="en-US" w:eastAsia="zh-CN"/>
        </w:rPr>
        <w:t>五</w:t>
      </w:r>
      <w:r>
        <w:rPr>
          <w:rFonts w:hint="default" w:ascii="Times New Roman" w:hAnsi="Times New Roman" w:cs="Times New Roman"/>
          <w:color w:val="000000"/>
          <w:szCs w:val="30"/>
          <w:highlight w:val="none"/>
        </w:rPr>
        <w:t>）</w:t>
      </w:r>
      <w:r>
        <w:rPr>
          <w:rFonts w:hint="default" w:ascii="Times New Roman" w:hAnsi="Times New Roman" w:cs="Times New Roman"/>
          <w:szCs w:val="30"/>
          <w:highlight w:val="none"/>
        </w:rPr>
        <w:t>市场发生其他严重异常情况的。</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 xml:space="preserve">  </w:t>
      </w:r>
      <w:r>
        <w:rPr>
          <w:rFonts w:hint="default" w:ascii="Times New Roman" w:hAnsi="Times New Roman" w:cs="Times New Roman"/>
          <w:szCs w:val="30"/>
          <w:highlight w:val="none"/>
        </w:rPr>
        <w:t>广州电力交易中心、南网总调应详细记录市场干预期间的有关情况，并向国家能源局及其派出机构、南方五省区政府电力管理部门提交报告。</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 xml:space="preserve">  </w:t>
      </w:r>
      <w:r>
        <w:rPr>
          <w:rFonts w:hint="default" w:ascii="Times New Roman" w:hAnsi="Times New Roman" w:cs="Times New Roman"/>
          <w:szCs w:val="30"/>
          <w:highlight w:val="none"/>
        </w:rPr>
        <w:t>发生市场争议时，市场成员可自行协商解决，协商无法达成一致时可提交国家能源局派出机构、地方政府电力管理部门调解处理，也可提交仲裁委员会仲裁或者向人民法院提起诉讼。</w:t>
      </w:r>
    </w:p>
    <w:p>
      <w:pPr>
        <w:pStyle w:val="3"/>
        <w:numPr>
          <w:ilvl w:val="0"/>
          <w:numId w:val="2"/>
        </w:numPr>
        <w:spacing w:beforeLines="50" w:afterLines="50" w:line="560" w:lineRule="exact"/>
        <w:rPr>
          <w:rFonts w:hint="default" w:ascii="Times New Roman" w:hAnsi="Times New Roman" w:eastAsia="黑体" w:cs="Times New Roman"/>
          <w:bCs w:val="0"/>
          <w:kern w:val="2"/>
          <w:sz w:val="30"/>
          <w:szCs w:val="30"/>
          <w:highlight w:val="none"/>
        </w:rPr>
      </w:pPr>
      <w:bookmarkStart w:id="49" w:name="_Toc88663442"/>
      <w:bookmarkStart w:id="50" w:name="_Toc26699"/>
      <w:r>
        <w:rPr>
          <w:rFonts w:hint="default" w:ascii="Times New Roman" w:hAnsi="Times New Roman" w:eastAsia="黑体" w:cs="Times New Roman"/>
          <w:bCs w:val="0"/>
          <w:kern w:val="2"/>
          <w:sz w:val="30"/>
          <w:szCs w:val="30"/>
          <w:highlight w:val="none"/>
        </w:rPr>
        <w:t>附则</w:t>
      </w:r>
      <w:bookmarkEnd w:id="49"/>
      <w:bookmarkEnd w:id="50"/>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eastAsia" w:cs="Times New Roman"/>
          <w:szCs w:val="30"/>
          <w:highlight w:val="none"/>
          <w:lang w:val="en-US" w:eastAsia="zh-CN"/>
        </w:rPr>
        <w:t xml:space="preserve"> </w:t>
      </w:r>
      <w:r>
        <w:rPr>
          <w:rFonts w:hint="default" w:ascii="Times New Roman" w:hAnsi="Times New Roman" w:cs="Times New Roman"/>
          <w:szCs w:val="30"/>
          <w:highlight w:val="none"/>
        </w:rPr>
        <w:t>本规则与国家最新的政策、文件规定不符的，从其规定。</w:t>
      </w:r>
    </w:p>
    <w:p>
      <w:pPr>
        <w:numPr>
          <w:ilvl w:val="0"/>
          <w:numId w:val="1"/>
        </w:numPr>
        <w:overflowPunct w:val="0"/>
        <w:snapToGrid w:val="0"/>
        <w:spacing w:line="560" w:lineRule="exact"/>
        <w:ind w:firstLineChars="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 xml:space="preserve">  </w:t>
      </w:r>
      <w:r>
        <w:rPr>
          <w:rFonts w:hint="eastAsia" w:cs="Times New Roman"/>
          <w:szCs w:val="30"/>
          <w:highlight w:val="none"/>
          <w:lang w:val="en-US" w:eastAsia="zh-CN"/>
        </w:rPr>
        <w:t>本规则自发布之日起实施，有效期与《国家发展改革委 国家能源局关于印发&lt;电力中长期交易基本规则&gt;的通知》（发改能源[2020]889号）一致。</w:t>
      </w:r>
      <w:r>
        <w:rPr>
          <w:rFonts w:hint="default" w:ascii="Times New Roman" w:hAnsi="Times New Roman" w:cs="Times New Roman"/>
          <w:szCs w:val="30"/>
          <w:highlight w:val="none"/>
        </w:rPr>
        <w:t>原《南方区域跨区跨省电力</w:t>
      </w:r>
      <w:r>
        <w:rPr>
          <w:rFonts w:hint="eastAsia" w:cs="Times New Roman"/>
          <w:szCs w:val="30"/>
          <w:highlight w:val="none"/>
          <w:lang w:eastAsia="zh-CN"/>
        </w:rPr>
        <w:t>中长期</w:t>
      </w:r>
      <w:r>
        <w:rPr>
          <w:rFonts w:hint="default" w:ascii="Times New Roman" w:hAnsi="Times New Roman" w:cs="Times New Roman"/>
          <w:szCs w:val="30"/>
          <w:highlight w:val="none"/>
        </w:rPr>
        <w:t>交易规则》（广州交易〔20</w:t>
      </w:r>
      <w:r>
        <w:rPr>
          <w:rFonts w:hint="eastAsia" w:cs="Times New Roman"/>
          <w:szCs w:val="30"/>
          <w:highlight w:val="none"/>
          <w:lang w:eastAsia="zh-CN"/>
        </w:rPr>
        <w:t>2</w:t>
      </w:r>
      <w:r>
        <w:rPr>
          <w:rFonts w:hint="eastAsia" w:cs="Times New Roman"/>
          <w:szCs w:val="30"/>
          <w:highlight w:val="none"/>
          <w:lang w:val="en-US" w:eastAsia="zh-CN"/>
        </w:rPr>
        <w:t>2</w:t>
      </w:r>
      <w:r>
        <w:rPr>
          <w:rFonts w:hint="default" w:ascii="Times New Roman" w:hAnsi="Times New Roman" w:cs="Times New Roman"/>
          <w:szCs w:val="30"/>
          <w:highlight w:val="none"/>
        </w:rPr>
        <w:t>〕</w:t>
      </w:r>
      <w:r>
        <w:rPr>
          <w:rFonts w:hint="eastAsia" w:cs="Times New Roman"/>
          <w:szCs w:val="30"/>
          <w:highlight w:val="none"/>
          <w:lang w:eastAsia="zh-CN"/>
        </w:rPr>
        <w:t>8</w:t>
      </w:r>
      <w:r>
        <w:rPr>
          <w:rFonts w:hint="default" w:ascii="Times New Roman" w:hAnsi="Times New Roman" w:cs="Times New Roman"/>
          <w:szCs w:val="30"/>
          <w:highlight w:val="none"/>
        </w:rPr>
        <w:t xml:space="preserve"> 号）</w:t>
      </w:r>
      <w:r>
        <w:rPr>
          <w:rFonts w:hint="eastAsia" w:cs="Times New Roman"/>
          <w:szCs w:val="30"/>
          <w:highlight w:val="none"/>
          <w:lang w:eastAsia="zh-CN"/>
        </w:rPr>
        <w:t>废止</w:t>
      </w:r>
      <w:r>
        <w:rPr>
          <w:rFonts w:hint="default" w:ascii="Times New Roman" w:hAnsi="Times New Roman" w:cs="Times New Roman"/>
          <w:szCs w:val="30"/>
          <w:highlight w:val="none"/>
        </w:rPr>
        <w:t>。</w:t>
      </w:r>
    </w:p>
    <w:p>
      <w:pPr>
        <w:ind w:firstLine="0" w:firstLineChars="0"/>
        <w:rPr>
          <w:rFonts w:hint="default" w:ascii="Times New Roman" w:hAnsi="Times New Roman" w:eastAsia="仿宋_GB2312" w:cs="Times New Roman"/>
          <w:highlight w:val="none"/>
          <w:lang w:val="en-US" w:eastAsia="zh-CN"/>
        </w:rPr>
      </w:pPr>
    </w:p>
    <w:p>
      <w:pPr>
        <w:ind w:firstLine="6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附件：</w:t>
      </w:r>
      <w:r>
        <w:rPr>
          <w:rFonts w:hint="default" w:ascii="Times New Roman" w:hAnsi="Times New Roman" w:cs="Times New Roman"/>
          <w:szCs w:val="30"/>
          <w:highlight w:val="none"/>
          <w:lang w:val="en-US" w:eastAsia="zh-CN"/>
        </w:rPr>
        <w:t>1.</w:t>
      </w:r>
      <w:r>
        <w:rPr>
          <w:rFonts w:hint="default" w:ascii="Times New Roman" w:hAnsi="Times New Roman" w:cs="Times New Roman"/>
          <w:highlight w:val="none"/>
          <w:lang w:val="en-US" w:eastAsia="zh-CN"/>
        </w:rPr>
        <w:t>交易品种</w:t>
      </w:r>
    </w:p>
    <w:p>
      <w:pPr>
        <w:ind w:firstLine="1500" w:firstLineChars="500"/>
        <w:rPr>
          <w:rFonts w:hint="default" w:ascii="Times New Roman" w:hAnsi="Times New Roman" w:cs="Times New Roman"/>
          <w:highlight w:val="none"/>
          <w:lang w:val="en-US" w:eastAsia="zh-CN"/>
        </w:rPr>
      </w:pPr>
      <w:r>
        <w:rPr>
          <w:rFonts w:hint="default" w:ascii="Times New Roman" w:hAnsi="Times New Roman" w:cs="Times New Roman"/>
          <w:szCs w:val="30"/>
          <w:highlight w:val="none"/>
          <w:lang w:val="en-US" w:eastAsia="zh-CN"/>
        </w:rPr>
        <w:t>2.</w:t>
      </w:r>
      <w:r>
        <w:rPr>
          <w:rFonts w:hint="default" w:ascii="Times New Roman" w:hAnsi="Times New Roman" w:cs="Times New Roman"/>
          <w:highlight w:val="none"/>
          <w:lang w:val="en-US" w:eastAsia="zh-CN"/>
        </w:rPr>
        <w:t>交易品种说明</w:t>
      </w:r>
    </w:p>
    <w:p>
      <w:pPr>
        <w:pStyle w:val="2"/>
        <w:rPr>
          <w:rFonts w:hint="default" w:ascii="Times New Roman" w:hAnsi="Times New Roman" w:cs="Times New Roman"/>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pPr>
        <w:pStyle w:val="3"/>
        <w:spacing w:line="560" w:lineRule="exact"/>
        <w:jc w:val="left"/>
        <w:rPr>
          <w:rFonts w:hint="default" w:ascii="Times New Roman" w:hAnsi="Times New Roman" w:eastAsia="黑体" w:cs="Times New Roman"/>
          <w:bCs w:val="0"/>
          <w:kern w:val="2"/>
          <w:sz w:val="30"/>
          <w:szCs w:val="30"/>
          <w:highlight w:val="none"/>
        </w:rPr>
      </w:pPr>
      <w:bookmarkStart w:id="51" w:name="_Toc12109"/>
      <w:bookmarkStart w:id="52" w:name="_Toc88663443"/>
      <w:r>
        <w:rPr>
          <w:rFonts w:hint="default" w:ascii="Times New Roman" w:hAnsi="Times New Roman" w:eastAsia="黑体" w:cs="Times New Roman"/>
          <w:bCs w:val="0"/>
          <w:kern w:val="2"/>
          <w:sz w:val="30"/>
          <w:szCs w:val="30"/>
          <w:highlight w:val="none"/>
        </w:rPr>
        <w:t>附件1</w:t>
      </w:r>
    </w:p>
    <w:p>
      <w:pPr>
        <w:pStyle w:val="3"/>
        <w:spacing w:line="560" w:lineRule="exact"/>
        <w:jc w:val="center"/>
        <w:rPr>
          <w:rFonts w:hint="default" w:ascii="Times New Roman" w:hAnsi="Times New Roman" w:eastAsia="方正小标宋简体" w:cs="Times New Roman"/>
          <w:bCs w:val="0"/>
          <w:kern w:val="2"/>
          <w:sz w:val="30"/>
          <w:szCs w:val="30"/>
          <w:highlight w:val="none"/>
        </w:rPr>
      </w:pPr>
      <w:r>
        <w:rPr>
          <w:rFonts w:hint="default" w:ascii="Times New Roman" w:hAnsi="Times New Roman" w:eastAsia="方正小标宋简体" w:cs="Times New Roman"/>
          <w:bCs w:val="0"/>
          <w:kern w:val="2"/>
          <w:sz w:val="30"/>
          <w:szCs w:val="30"/>
          <w:highlight w:val="none"/>
        </w:rPr>
        <w:t>交易品种</w:t>
      </w:r>
      <w:bookmarkEnd w:id="51"/>
      <w:bookmarkEnd w:id="52"/>
    </w:p>
    <w:tbl>
      <w:tblPr>
        <w:tblStyle w:val="9"/>
        <w:tblW w:w="15249" w:type="dxa"/>
        <w:tblInd w:w="-977" w:type="dxa"/>
        <w:tblLayout w:type="fixed"/>
        <w:tblCellMar>
          <w:top w:w="0" w:type="dxa"/>
          <w:left w:w="0" w:type="dxa"/>
          <w:bottom w:w="0" w:type="dxa"/>
          <w:right w:w="0" w:type="dxa"/>
        </w:tblCellMar>
      </w:tblPr>
      <w:tblGrid>
        <w:gridCol w:w="488"/>
        <w:gridCol w:w="4975"/>
        <w:gridCol w:w="525"/>
        <w:gridCol w:w="512"/>
        <w:gridCol w:w="475"/>
        <w:gridCol w:w="663"/>
        <w:gridCol w:w="4062"/>
        <w:gridCol w:w="3549"/>
      </w:tblGrid>
      <w:tr>
        <w:tblPrEx>
          <w:tblCellMar>
            <w:top w:w="0" w:type="dxa"/>
            <w:left w:w="0" w:type="dxa"/>
            <w:bottom w:w="0" w:type="dxa"/>
            <w:right w:w="0" w:type="dxa"/>
          </w:tblCellMar>
        </w:tblPrEx>
        <w:trPr>
          <w:trHeight w:val="340" w:hRule="exact"/>
        </w:trPr>
        <w:tc>
          <w:tcPr>
            <w:tcW w:w="488" w:type="dxa"/>
            <w:vMerge w:val="restart"/>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2"/>
                <w:highlight w:val="none"/>
              </w:rPr>
            </w:pPr>
            <w:r>
              <w:rPr>
                <w:rFonts w:hint="default" w:ascii="Times New Roman" w:hAnsi="Times New Roman" w:eastAsia="宋体" w:cs="Times New Roman"/>
                <w:b/>
                <w:color w:val="000000"/>
                <w:kern w:val="0"/>
                <w:sz w:val="22"/>
                <w:highlight w:val="none"/>
                <w:lang w:bidi="ar"/>
              </w:rPr>
              <w:t>序号</w:t>
            </w:r>
          </w:p>
        </w:tc>
        <w:tc>
          <w:tcPr>
            <w:tcW w:w="4975" w:type="dxa"/>
            <w:vMerge w:val="restart"/>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2"/>
                <w:highlight w:val="none"/>
              </w:rPr>
            </w:pPr>
            <w:r>
              <w:rPr>
                <w:rFonts w:hint="default" w:ascii="Times New Roman" w:hAnsi="Times New Roman" w:eastAsia="宋体" w:cs="Times New Roman"/>
                <w:b/>
                <w:color w:val="000000"/>
                <w:kern w:val="0"/>
                <w:sz w:val="22"/>
                <w:highlight w:val="none"/>
                <w:lang w:bidi="ar"/>
              </w:rPr>
              <w:t>交易品种</w:t>
            </w:r>
          </w:p>
        </w:tc>
        <w:tc>
          <w:tcPr>
            <w:tcW w:w="2175" w:type="dxa"/>
            <w:gridSpan w:val="4"/>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2"/>
                <w:highlight w:val="none"/>
              </w:rPr>
            </w:pPr>
            <w:r>
              <w:rPr>
                <w:rFonts w:hint="default" w:ascii="Times New Roman" w:hAnsi="Times New Roman" w:eastAsia="宋体" w:cs="Times New Roman"/>
                <w:b/>
                <w:color w:val="000000"/>
                <w:kern w:val="0"/>
                <w:sz w:val="22"/>
                <w:highlight w:val="none"/>
                <w:lang w:bidi="ar"/>
              </w:rPr>
              <w:t>交易方式</w:t>
            </w:r>
          </w:p>
        </w:tc>
        <w:tc>
          <w:tcPr>
            <w:tcW w:w="7611" w:type="dxa"/>
            <w:gridSpan w:val="2"/>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2"/>
                <w:highlight w:val="none"/>
              </w:rPr>
            </w:pPr>
            <w:r>
              <w:rPr>
                <w:rFonts w:hint="default" w:ascii="Times New Roman" w:hAnsi="Times New Roman" w:eastAsia="宋体" w:cs="Times New Roman"/>
                <w:b/>
                <w:color w:val="000000"/>
                <w:kern w:val="0"/>
                <w:sz w:val="22"/>
                <w:highlight w:val="none"/>
                <w:lang w:bidi="ar"/>
              </w:rPr>
              <w:t>参与主体</w:t>
            </w:r>
          </w:p>
        </w:tc>
      </w:tr>
      <w:tr>
        <w:tblPrEx>
          <w:tblCellMar>
            <w:top w:w="0" w:type="dxa"/>
            <w:left w:w="0" w:type="dxa"/>
            <w:bottom w:w="0" w:type="dxa"/>
            <w:right w:w="0" w:type="dxa"/>
          </w:tblCellMar>
        </w:tblPrEx>
        <w:trPr>
          <w:trHeight w:val="340" w:hRule="exact"/>
        </w:trPr>
        <w:tc>
          <w:tcPr>
            <w:tcW w:w="488" w:type="dxa"/>
            <w:vMerge w:val="continue"/>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b/>
                <w:color w:val="000000"/>
                <w:sz w:val="22"/>
                <w:highlight w:val="none"/>
              </w:rPr>
            </w:pPr>
          </w:p>
        </w:tc>
        <w:tc>
          <w:tcPr>
            <w:tcW w:w="4975" w:type="dxa"/>
            <w:vMerge w:val="continue"/>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b/>
                <w:color w:val="000000"/>
                <w:sz w:val="22"/>
                <w:highlight w:val="none"/>
              </w:rPr>
            </w:pPr>
          </w:p>
        </w:tc>
        <w:tc>
          <w:tcPr>
            <w:tcW w:w="525" w:type="dxa"/>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0"/>
                <w:szCs w:val="20"/>
                <w:highlight w:val="none"/>
              </w:rPr>
            </w:pPr>
            <w:r>
              <w:rPr>
                <w:rFonts w:hint="default" w:ascii="Times New Roman" w:hAnsi="Times New Roman" w:eastAsia="宋体" w:cs="Times New Roman"/>
                <w:b/>
                <w:color w:val="000000"/>
                <w:kern w:val="0"/>
                <w:sz w:val="20"/>
                <w:szCs w:val="20"/>
                <w:highlight w:val="none"/>
                <w:lang w:bidi="ar"/>
              </w:rPr>
              <w:t>协商</w:t>
            </w:r>
          </w:p>
        </w:tc>
        <w:tc>
          <w:tcPr>
            <w:tcW w:w="512" w:type="dxa"/>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0"/>
                <w:szCs w:val="20"/>
                <w:highlight w:val="none"/>
              </w:rPr>
            </w:pPr>
            <w:r>
              <w:rPr>
                <w:rFonts w:hint="default" w:ascii="Times New Roman" w:hAnsi="Times New Roman" w:eastAsia="宋体" w:cs="Times New Roman"/>
                <w:b/>
                <w:color w:val="000000"/>
                <w:kern w:val="0"/>
                <w:sz w:val="20"/>
                <w:szCs w:val="20"/>
                <w:highlight w:val="none"/>
                <w:lang w:bidi="ar"/>
              </w:rPr>
              <w:t>竞价</w:t>
            </w:r>
          </w:p>
        </w:tc>
        <w:tc>
          <w:tcPr>
            <w:tcW w:w="475" w:type="dxa"/>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0"/>
                <w:szCs w:val="20"/>
                <w:highlight w:val="none"/>
              </w:rPr>
            </w:pPr>
            <w:r>
              <w:rPr>
                <w:rFonts w:hint="default" w:ascii="Times New Roman" w:hAnsi="Times New Roman" w:eastAsia="宋体" w:cs="Times New Roman"/>
                <w:b/>
                <w:color w:val="000000"/>
                <w:kern w:val="0"/>
                <w:sz w:val="20"/>
                <w:szCs w:val="20"/>
                <w:highlight w:val="none"/>
                <w:lang w:bidi="ar"/>
              </w:rPr>
              <w:t>挂牌</w:t>
            </w:r>
          </w:p>
        </w:tc>
        <w:tc>
          <w:tcPr>
            <w:tcW w:w="663" w:type="dxa"/>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0"/>
                <w:szCs w:val="20"/>
                <w:highlight w:val="none"/>
              </w:rPr>
            </w:pPr>
            <w:r>
              <w:rPr>
                <w:rFonts w:hint="default" w:ascii="Times New Roman" w:hAnsi="Times New Roman" w:eastAsia="宋体" w:cs="Times New Roman"/>
                <w:b/>
                <w:color w:val="000000"/>
                <w:kern w:val="0"/>
                <w:sz w:val="20"/>
                <w:szCs w:val="20"/>
                <w:highlight w:val="none"/>
                <w:lang w:bidi="ar"/>
              </w:rPr>
              <w:t>预招标</w:t>
            </w:r>
          </w:p>
        </w:tc>
        <w:tc>
          <w:tcPr>
            <w:tcW w:w="4062" w:type="dxa"/>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0"/>
                <w:szCs w:val="20"/>
                <w:highlight w:val="none"/>
              </w:rPr>
            </w:pPr>
            <w:r>
              <w:rPr>
                <w:rFonts w:hint="default" w:ascii="Times New Roman" w:hAnsi="Times New Roman" w:eastAsia="宋体" w:cs="Times New Roman"/>
                <w:b/>
                <w:color w:val="000000"/>
                <w:kern w:val="0"/>
                <w:sz w:val="20"/>
                <w:szCs w:val="20"/>
                <w:highlight w:val="none"/>
                <w:lang w:bidi="ar"/>
              </w:rPr>
              <w:t>买方/受让方</w:t>
            </w:r>
          </w:p>
        </w:tc>
        <w:tc>
          <w:tcPr>
            <w:tcW w:w="3549" w:type="dxa"/>
            <w:tcBorders>
              <w:top w:val="single" w:color="000000" w:sz="4" w:space="0"/>
              <w:left w:val="single" w:color="000000" w:sz="4" w:space="0"/>
              <w:bottom w:val="single" w:color="000000" w:sz="8"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
                <w:color w:val="000000"/>
                <w:sz w:val="20"/>
                <w:szCs w:val="20"/>
                <w:highlight w:val="none"/>
              </w:rPr>
            </w:pPr>
            <w:r>
              <w:rPr>
                <w:rFonts w:hint="default" w:ascii="Times New Roman" w:hAnsi="Times New Roman" w:eastAsia="宋体" w:cs="Times New Roman"/>
                <w:b/>
                <w:color w:val="000000"/>
                <w:kern w:val="0"/>
                <w:sz w:val="20"/>
                <w:szCs w:val="20"/>
                <w:highlight w:val="none"/>
                <w:lang w:bidi="ar"/>
              </w:rPr>
              <w:t>卖方/出让方</w:t>
            </w:r>
          </w:p>
        </w:tc>
      </w:tr>
      <w:tr>
        <w:tblPrEx>
          <w:tblCellMar>
            <w:top w:w="0" w:type="dxa"/>
            <w:left w:w="0" w:type="dxa"/>
            <w:bottom w:w="0" w:type="dxa"/>
            <w:right w:w="0" w:type="dxa"/>
          </w:tblCellMar>
        </w:tblPrEx>
        <w:trPr>
          <w:trHeight w:val="340" w:hRule="exact"/>
        </w:trPr>
        <w:tc>
          <w:tcPr>
            <w:tcW w:w="48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rPr>
              <w:t>1</w:t>
            </w:r>
          </w:p>
        </w:tc>
        <w:tc>
          <w:tcPr>
            <w:tcW w:w="4975"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 xml:space="preserve">年度  </w:t>
            </w:r>
            <w:r>
              <w:rPr>
                <w:rFonts w:hint="eastAsia" w:eastAsia="宋体" w:cs="Times New Roman"/>
                <w:bCs/>
                <w:color w:val="000000"/>
                <w:kern w:val="0"/>
                <w:sz w:val="22"/>
                <w:highlight w:val="none"/>
                <w:lang w:eastAsia="zh-CN"/>
              </w:rPr>
              <w:t>跨省跨区优先发电规模计划电量</w:t>
            </w:r>
            <w:r>
              <w:rPr>
                <w:rFonts w:hint="default" w:ascii="Times New Roman" w:hAnsi="Times New Roman" w:eastAsia="宋体" w:cs="Times New Roman"/>
                <w:bCs/>
                <w:color w:val="000000"/>
                <w:kern w:val="0"/>
                <w:sz w:val="22"/>
                <w:highlight w:val="none"/>
              </w:rPr>
              <w:t xml:space="preserve">  外送交易</w:t>
            </w:r>
          </w:p>
        </w:tc>
        <w:tc>
          <w:tcPr>
            <w:tcW w:w="525"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75"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663"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受电省区电网企业</w:t>
            </w:r>
          </w:p>
        </w:tc>
        <w:tc>
          <w:tcPr>
            <w:tcW w:w="3549"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eastAsia="zh-CN" w:bidi="ar"/>
              </w:rPr>
            </w:pPr>
            <w:r>
              <w:rPr>
                <w:rFonts w:hint="default" w:ascii="Times New Roman" w:hAnsi="Times New Roman" w:eastAsia="宋体" w:cs="Times New Roman"/>
                <w:bCs/>
                <w:color w:val="000000"/>
                <w:kern w:val="0"/>
                <w:sz w:val="22"/>
                <w:highlight w:val="none"/>
              </w:rPr>
              <w:t>送电省区电网企业、点对网送电电厂</w:t>
            </w:r>
          </w:p>
        </w:tc>
      </w:tr>
      <w:tr>
        <w:tblPrEx>
          <w:tblCellMar>
            <w:top w:w="0" w:type="dxa"/>
            <w:left w:w="0" w:type="dxa"/>
            <w:bottom w:w="0" w:type="dxa"/>
            <w:right w:w="0" w:type="dxa"/>
          </w:tblCellMar>
        </w:tblPrEx>
        <w:trPr>
          <w:trHeight w:val="340" w:hRule="exact"/>
        </w:trPr>
        <w:tc>
          <w:tcPr>
            <w:tcW w:w="48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kern w:val="0"/>
                <w:sz w:val="22"/>
                <w:highlight w:val="none"/>
                <w:lang w:bidi="ar"/>
              </w:rPr>
            </w:pPr>
            <w:r>
              <w:rPr>
                <w:rFonts w:hint="default" w:ascii="Times New Roman" w:hAnsi="Times New Roman" w:eastAsia="宋体" w:cs="Times New Roman"/>
                <w:color w:val="auto"/>
                <w:kern w:val="0"/>
                <w:sz w:val="22"/>
                <w:highlight w:val="none"/>
              </w:rPr>
              <w:t>2</w:t>
            </w:r>
          </w:p>
        </w:tc>
        <w:tc>
          <w:tcPr>
            <w:tcW w:w="4975"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 xml:space="preserve">年度  </w:t>
            </w:r>
            <w:r>
              <w:rPr>
                <w:rFonts w:hint="eastAsia" w:eastAsia="宋体" w:cs="Times New Roman"/>
                <w:bCs/>
                <w:color w:val="000000"/>
                <w:kern w:val="0"/>
                <w:sz w:val="22"/>
                <w:highlight w:val="none"/>
                <w:lang w:eastAsia="zh-CN"/>
              </w:rPr>
              <w:t>跨省跨区优先发电规模计划电量</w:t>
            </w:r>
            <w:r>
              <w:rPr>
                <w:rFonts w:hint="default" w:ascii="Times New Roman" w:hAnsi="Times New Roman" w:eastAsia="宋体" w:cs="Times New Roman"/>
                <w:bCs/>
                <w:color w:val="000000"/>
                <w:kern w:val="0"/>
                <w:sz w:val="22"/>
                <w:highlight w:val="none"/>
              </w:rPr>
              <w:t xml:space="preserve">  直接交易</w:t>
            </w:r>
          </w:p>
        </w:tc>
        <w:tc>
          <w:tcPr>
            <w:tcW w:w="525"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rPr>
              <w:t>✔</w:t>
            </w:r>
          </w:p>
        </w:tc>
        <w:tc>
          <w:tcPr>
            <w:tcW w:w="512"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受电省区电力用户、售电公司、储能企业</w:t>
            </w:r>
          </w:p>
        </w:tc>
        <w:tc>
          <w:tcPr>
            <w:tcW w:w="3549" w:type="dxa"/>
            <w:tcBorders>
              <w:top w:val="nil"/>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w:t>
            </w:r>
            <w:r>
              <w:rPr>
                <w:rFonts w:hint="default" w:ascii="Times New Roman" w:hAnsi="Times New Roman" w:eastAsia="宋体" w:cs="Times New Roman"/>
                <w:bCs/>
                <w:color w:val="000000"/>
                <w:kern w:val="0"/>
                <w:sz w:val="22"/>
                <w:highlight w:val="none"/>
                <w:lang w:eastAsia="zh-CN"/>
              </w:rPr>
              <w:t>企业</w:t>
            </w:r>
            <w:r>
              <w:rPr>
                <w:rFonts w:hint="default" w:ascii="Times New Roman" w:hAnsi="Times New Roman" w:eastAsia="宋体" w:cs="Times New Roman"/>
                <w:bCs/>
                <w:color w:val="000000"/>
                <w:kern w:val="0"/>
                <w:sz w:val="22"/>
                <w:highlight w:val="none"/>
              </w:rPr>
              <w:t>、点对网送电电厂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rPr>
              <w:t>3</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年度  增量电量  外送交易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受电省区电网企业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送电省区电网企业、点对网送电电厂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rPr>
              <w:t>4</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年度  增量电量  直接交易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受电省区电力用户、售电公司、储能企业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送电省区发电企业、点对网送电电厂</w:t>
            </w:r>
          </w:p>
        </w:tc>
      </w:tr>
      <w:tr>
        <w:tblPrEx>
          <w:tblCellMar>
            <w:top w:w="0" w:type="dxa"/>
            <w:left w:w="0" w:type="dxa"/>
            <w:bottom w:w="0" w:type="dxa"/>
            <w:right w:w="0" w:type="dxa"/>
          </w:tblCellMar>
        </w:tblPrEx>
        <w:trPr>
          <w:trHeight w:val="340" w:hRule="exact"/>
        </w:trPr>
        <w:tc>
          <w:tcPr>
            <w:tcW w:w="48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rPr>
              <w:t>5</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 xml:space="preserve">月度  </w:t>
            </w:r>
            <w:r>
              <w:rPr>
                <w:rFonts w:hint="eastAsia" w:eastAsia="宋体" w:cs="Times New Roman"/>
                <w:bCs/>
                <w:color w:val="000000"/>
                <w:kern w:val="0"/>
                <w:sz w:val="22"/>
                <w:highlight w:val="none"/>
                <w:lang w:eastAsia="zh-CN"/>
              </w:rPr>
              <w:t>跨省跨区优先发电规模计划电量</w:t>
            </w:r>
            <w:r>
              <w:rPr>
                <w:rFonts w:hint="default" w:ascii="Times New Roman" w:hAnsi="Times New Roman" w:eastAsia="宋体" w:cs="Times New Roman"/>
                <w:bCs/>
                <w:color w:val="000000"/>
                <w:kern w:val="0"/>
                <w:sz w:val="22"/>
                <w:highlight w:val="none"/>
              </w:rPr>
              <w:t xml:space="preserve">  外送交易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受电省区电网企业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送电省区电网企业、点对网送电电厂</w:t>
            </w:r>
          </w:p>
        </w:tc>
      </w:tr>
      <w:tr>
        <w:tblPrEx>
          <w:tblCellMar>
            <w:top w:w="0" w:type="dxa"/>
            <w:left w:w="0" w:type="dxa"/>
            <w:bottom w:w="0" w:type="dxa"/>
            <w:right w:w="0" w:type="dxa"/>
          </w:tblCellMar>
        </w:tblPrEx>
        <w:trPr>
          <w:trHeight w:val="340" w:hRule="exact"/>
        </w:trPr>
        <w:tc>
          <w:tcPr>
            <w:tcW w:w="48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kern w:val="0"/>
                <w:sz w:val="22"/>
                <w:highlight w:val="none"/>
                <w:lang w:bidi="ar"/>
              </w:rPr>
            </w:pPr>
            <w:r>
              <w:rPr>
                <w:rFonts w:hint="default" w:ascii="Times New Roman" w:hAnsi="Times New Roman" w:eastAsia="宋体" w:cs="Times New Roman"/>
                <w:color w:val="auto"/>
                <w:kern w:val="0"/>
                <w:sz w:val="22"/>
                <w:highlight w:val="none"/>
              </w:rPr>
              <w:t>6</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 xml:space="preserve">月度  </w:t>
            </w:r>
            <w:r>
              <w:rPr>
                <w:rFonts w:hint="eastAsia" w:eastAsia="宋体" w:cs="Times New Roman"/>
                <w:bCs/>
                <w:color w:val="000000"/>
                <w:kern w:val="0"/>
                <w:sz w:val="22"/>
                <w:highlight w:val="none"/>
                <w:lang w:eastAsia="zh-CN"/>
              </w:rPr>
              <w:t>跨省跨区优先发电规模计划电量</w:t>
            </w:r>
            <w:r>
              <w:rPr>
                <w:rFonts w:hint="default" w:ascii="Times New Roman" w:hAnsi="Times New Roman" w:eastAsia="宋体" w:cs="Times New Roman"/>
                <w:bCs/>
                <w:color w:val="000000"/>
                <w:kern w:val="0"/>
                <w:sz w:val="22"/>
                <w:highlight w:val="none"/>
              </w:rPr>
              <w:t xml:space="preserve">  直接交易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受电省区电力用户、售电公司、储能企业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rPr>
              <w:t>7</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月度  增量电量  外送交易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受电省区电网企业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送电省区电网企业、点对网送电电厂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rPr>
              <w:t>8</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月度  增量电量  直接交易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受电省区电力用户、售电公司、储能企业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送电省区发电企业、点对网送电电厂</w:t>
            </w:r>
          </w:p>
        </w:tc>
      </w:tr>
      <w:tr>
        <w:tblPrEx>
          <w:tblCellMar>
            <w:top w:w="0" w:type="dxa"/>
            <w:left w:w="0" w:type="dxa"/>
            <w:bottom w:w="0" w:type="dxa"/>
            <w:right w:w="0" w:type="dxa"/>
          </w:tblCellMar>
        </w:tblPrEx>
        <w:trPr>
          <w:trHeight w:val="340" w:hRule="exact"/>
        </w:trPr>
        <w:tc>
          <w:tcPr>
            <w:tcW w:w="48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9</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 xml:space="preserve">周    </w:t>
            </w:r>
            <w:r>
              <w:rPr>
                <w:rFonts w:hint="eastAsia" w:eastAsia="宋体" w:cs="Times New Roman"/>
                <w:bCs/>
                <w:color w:val="000000"/>
                <w:kern w:val="0"/>
                <w:sz w:val="22"/>
                <w:highlight w:val="none"/>
                <w:lang w:eastAsia="zh-CN"/>
              </w:rPr>
              <w:t>跨省跨区优先发电规模计划电量</w:t>
            </w:r>
            <w:r>
              <w:rPr>
                <w:rFonts w:hint="default" w:ascii="Times New Roman" w:hAnsi="Times New Roman" w:eastAsia="宋体" w:cs="Times New Roman"/>
                <w:bCs/>
                <w:color w:val="000000"/>
                <w:kern w:val="0"/>
                <w:sz w:val="22"/>
                <w:highlight w:val="none"/>
              </w:rPr>
              <w:t xml:space="preserve">  外送交易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受电省区电网企业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送电省区电网企业、点对网送电电厂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sz w:val="22"/>
                <w:highlight w:val="none"/>
              </w:rPr>
              <w:t>10</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 xml:space="preserve">周    </w:t>
            </w:r>
            <w:r>
              <w:rPr>
                <w:rFonts w:hint="eastAsia" w:eastAsia="宋体" w:cs="Times New Roman"/>
                <w:bCs/>
                <w:color w:val="000000"/>
                <w:kern w:val="0"/>
                <w:sz w:val="22"/>
                <w:highlight w:val="none"/>
                <w:lang w:eastAsia="zh-CN"/>
              </w:rPr>
              <w:t>跨省跨区优先发电规模计划电量</w:t>
            </w:r>
            <w:r>
              <w:rPr>
                <w:rFonts w:hint="default" w:ascii="Times New Roman" w:hAnsi="Times New Roman" w:eastAsia="宋体" w:cs="Times New Roman"/>
                <w:bCs/>
                <w:color w:val="000000"/>
                <w:kern w:val="0"/>
                <w:sz w:val="22"/>
                <w:highlight w:val="none"/>
              </w:rPr>
              <w:t xml:space="preserve">  </w:t>
            </w:r>
            <w:r>
              <w:rPr>
                <w:rFonts w:hint="default" w:ascii="Times New Roman" w:hAnsi="Times New Roman" w:eastAsia="宋体" w:cs="Times New Roman"/>
                <w:bCs/>
                <w:color w:val="000000"/>
                <w:kern w:val="0"/>
                <w:sz w:val="22"/>
                <w:highlight w:val="none"/>
                <w:lang w:eastAsia="zh-CN"/>
              </w:rPr>
              <w:t>直接</w:t>
            </w:r>
            <w:r>
              <w:rPr>
                <w:rFonts w:hint="default" w:ascii="Times New Roman" w:hAnsi="Times New Roman" w:eastAsia="宋体" w:cs="Times New Roman"/>
                <w:bCs/>
                <w:color w:val="000000"/>
                <w:kern w:val="0"/>
                <w:sz w:val="22"/>
                <w:highlight w:val="none"/>
              </w:rPr>
              <w:t>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受电省区电力用户、售电公司、储能企业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lang w:val="en-US" w:eastAsia="zh-CN"/>
              </w:rPr>
            </w:pPr>
            <w:r>
              <w:rPr>
                <w:rFonts w:hint="default" w:ascii="Times New Roman" w:hAnsi="Times New Roman" w:eastAsia="宋体" w:cs="Times New Roman"/>
                <w:color w:val="auto"/>
                <w:sz w:val="22"/>
                <w:highlight w:val="none"/>
                <w:lang w:val="en-US" w:eastAsia="zh-CN"/>
              </w:rPr>
              <w:t>11</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kern w:val="2"/>
                <w:sz w:val="22"/>
                <w:szCs w:val="22"/>
                <w:highlight w:val="none"/>
                <w:lang w:val="en-US" w:eastAsia="zh-CN" w:bidi="ar-SA"/>
              </w:rPr>
            </w:pPr>
            <w:r>
              <w:rPr>
                <w:rFonts w:hint="default" w:ascii="Times New Roman" w:hAnsi="Times New Roman" w:eastAsia="宋体" w:cs="Times New Roman"/>
                <w:bCs/>
                <w:color w:val="000000"/>
                <w:kern w:val="0"/>
                <w:sz w:val="22"/>
                <w:highlight w:val="none"/>
              </w:rPr>
              <w:t>周    增量电量  外送交易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szCs w:val="22"/>
                <w:highlight w:val="none"/>
                <w:lang w:bidi="ar"/>
              </w:rPr>
            </w:pPr>
            <w:r>
              <w:rPr>
                <w:rFonts w:hint="default" w:ascii="Times New Roman" w:hAnsi="Times New Roman" w:eastAsia="宋体" w:cs="Times New Roman"/>
                <w:bCs/>
                <w:color w:val="000000"/>
                <w:kern w:val="0"/>
                <w:sz w:val="22"/>
                <w:highlight w:val="none"/>
              </w:rPr>
              <w:t>受电省区电网企业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szCs w:val="22"/>
                <w:highlight w:val="none"/>
                <w:lang w:bidi="ar"/>
              </w:rPr>
            </w:pPr>
            <w:r>
              <w:rPr>
                <w:rFonts w:hint="default" w:ascii="Times New Roman" w:hAnsi="Times New Roman" w:eastAsia="宋体" w:cs="Times New Roman"/>
                <w:bCs/>
                <w:color w:val="000000"/>
                <w:kern w:val="0"/>
                <w:sz w:val="22"/>
                <w:highlight w:val="none"/>
              </w:rPr>
              <w:t>送电省区电网企业、点对网送电电厂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lang w:val="en-US" w:eastAsia="zh-CN"/>
              </w:rPr>
            </w:pPr>
            <w:r>
              <w:rPr>
                <w:rFonts w:hint="default" w:ascii="Times New Roman" w:hAnsi="Times New Roman" w:eastAsia="宋体" w:cs="Times New Roman"/>
                <w:color w:val="auto"/>
                <w:sz w:val="22"/>
                <w:highlight w:val="none"/>
                <w:lang w:val="en-US" w:eastAsia="zh-CN"/>
              </w:rPr>
              <w:t>12</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 xml:space="preserve">周    增量电量  </w:t>
            </w:r>
            <w:r>
              <w:rPr>
                <w:rFonts w:hint="default" w:ascii="Times New Roman" w:hAnsi="Times New Roman" w:eastAsia="宋体" w:cs="Times New Roman"/>
                <w:bCs/>
                <w:color w:val="000000"/>
                <w:kern w:val="0"/>
                <w:sz w:val="22"/>
                <w:highlight w:val="none"/>
                <w:lang w:eastAsia="zh-CN"/>
              </w:rPr>
              <w:t>直接</w:t>
            </w:r>
            <w:r>
              <w:rPr>
                <w:rFonts w:hint="default" w:ascii="Times New Roman" w:hAnsi="Times New Roman" w:eastAsia="宋体" w:cs="Times New Roman"/>
                <w:bCs/>
                <w:color w:val="000000"/>
                <w:kern w:val="0"/>
                <w:sz w:val="22"/>
                <w:highlight w:val="none"/>
              </w:rPr>
              <w:t>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szCs w:val="22"/>
                <w:highlight w:val="none"/>
                <w:lang w:bidi="ar"/>
              </w:rPr>
            </w:pPr>
            <w:r>
              <w:rPr>
                <w:rFonts w:hint="default" w:ascii="Times New Roman" w:hAnsi="Times New Roman" w:eastAsia="宋体" w:cs="Times New Roman"/>
                <w:bCs/>
                <w:color w:val="000000"/>
                <w:kern w:val="0"/>
                <w:sz w:val="22"/>
                <w:highlight w:val="none"/>
              </w:rPr>
              <w:t>受电省区电力用户、售电公司、储能企业</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szCs w:val="22"/>
                <w:highlight w:val="none"/>
                <w:lang w:bidi="ar"/>
              </w:rPr>
            </w:pPr>
            <w:r>
              <w:rPr>
                <w:rFonts w:hint="default" w:ascii="Times New Roman" w:hAnsi="Times New Roman" w:eastAsia="宋体" w:cs="Times New Roman"/>
                <w:bCs/>
                <w:color w:val="000000"/>
                <w:kern w:val="0"/>
                <w:sz w:val="22"/>
                <w:highlight w:val="none"/>
              </w:rPr>
              <w:t>送电省区发电企业、点对网送电电厂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lang w:eastAsia="zh-CN"/>
              </w:rPr>
            </w:pPr>
            <w:r>
              <w:rPr>
                <w:rFonts w:hint="default" w:ascii="Times New Roman" w:hAnsi="Times New Roman" w:eastAsia="宋体" w:cs="Times New Roman"/>
                <w:color w:val="auto"/>
                <w:kern w:val="0"/>
                <w:sz w:val="22"/>
                <w:highlight w:val="none"/>
                <w:lang w:bidi="ar"/>
              </w:rPr>
              <w:t>13</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年度  送电合同  转让交易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发电企业、点对网送电电厂</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lang w:bidi="ar"/>
              </w:rPr>
              <w:t>14</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年度  发电合同  转让交易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w:t>
            </w:r>
            <w:r>
              <w:rPr>
                <w:rFonts w:hint="default" w:ascii="Times New Roman" w:hAnsi="Times New Roman" w:eastAsia="宋体" w:cs="Times New Roman"/>
                <w:bCs/>
                <w:color w:val="000000"/>
                <w:kern w:val="0"/>
                <w:sz w:val="22"/>
                <w:highlight w:val="none"/>
                <w:lang w:eastAsia="zh-CN"/>
              </w:rPr>
              <w:t>、</w:t>
            </w:r>
            <w:r>
              <w:rPr>
                <w:rFonts w:hint="default" w:ascii="Times New Roman" w:hAnsi="Times New Roman" w:eastAsia="宋体" w:cs="Times New Roman"/>
                <w:bCs/>
                <w:color w:val="000000"/>
                <w:kern w:val="0"/>
                <w:sz w:val="22"/>
                <w:highlight w:val="none"/>
              </w:rPr>
              <w:t>点对网送电电厂</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受电省区发电企业</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lang w:bidi="ar"/>
              </w:rPr>
              <w:t>15</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年度  用电合同  转让交易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同一受电省区售电公司、电力用户</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同一受电省区售电公司、电力用户</w:t>
            </w:r>
          </w:p>
        </w:tc>
      </w:tr>
      <w:tr>
        <w:tblPrEx>
          <w:tblCellMar>
            <w:top w:w="0" w:type="dxa"/>
            <w:left w:w="0" w:type="dxa"/>
            <w:bottom w:w="0" w:type="dxa"/>
            <w:right w:w="0" w:type="dxa"/>
          </w:tblCellMar>
        </w:tblPrEx>
        <w:trPr>
          <w:trHeight w:val="340" w:hRule="exact"/>
        </w:trPr>
        <w:tc>
          <w:tcPr>
            <w:tcW w:w="48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lang w:bidi="ar"/>
              </w:rPr>
              <w:t>1</w:t>
            </w:r>
            <w:r>
              <w:rPr>
                <w:rFonts w:hint="default" w:ascii="Times New Roman" w:hAnsi="Times New Roman" w:eastAsia="宋体" w:cs="Times New Roman"/>
                <w:color w:val="auto"/>
                <w:kern w:val="0"/>
                <w:sz w:val="22"/>
                <w:highlight w:val="none"/>
                <w:lang w:val="en-US" w:eastAsia="zh-CN" w:bidi="ar"/>
              </w:rPr>
              <w:t>6</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月度  送电合同  转让交易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发电企业、点对网送电电厂</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送电省区发电企业、点对网送电电厂</w:t>
            </w:r>
          </w:p>
        </w:tc>
      </w:tr>
      <w:tr>
        <w:tblPrEx>
          <w:tblCellMar>
            <w:top w:w="0" w:type="dxa"/>
            <w:left w:w="0" w:type="dxa"/>
            <w:bottom w:w="0" w:type="dxa"/>
            <w:right w:w="0" w:type="dxa"/>
          </w:tblCellMar>
        </w:tblPrEx>
        <w:trPr>
          <w:trHeight w:val="340" w:hRule="exact"/>
        </w:trPr>
        <w:tc>
          <w:tcPr>
            <w:tcW w:w="488"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lang w:bidi="ar"/>
              </w:rPr>
              <w:t>17</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月度  发电合同  转让交易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送电省区发电企业</w:t>
            </w:r>
            <w:r>
              <w:rPr>
                <w:rFonts w:hint="default" w:ascii="Times New Roman" w:hAnsi="Times New Roman" w:eastAsia="宋体" w:cs="Times New Roman"/>
                <w:bCs/>
                <w:color w:val="000000"/>
                <w:kern w:val="0"/>
                <w:sz w:val="22"/>
                <w:highlight w:val="none"/>
                <w:lang w:eastAsia="zh-CN"/>
              </w:rPr>
              <w:t>、</w:t>
            </w:r>
            <w:r>
              <w:rPr>
                <w:rFonts w:hint="default" w:ascii="Times New Roman" w:hAnsi="Times New Roman" w:eastAsia="宋体" w:cs="Times New Roman"/>
                <w:bCs/>
                <w:color w:val="000000"/>
                <w:kern w:val="0"/>
                <w:sz w:val="22"/>
                <w:highlight w:val="none"/>
              </w:rPr>
              <w:t>点对网送电电厂</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受电省区发电企业</w:t>
            </w:r>
          </w:p>
        </w:tc>
      </w:tr>
      <w:tr>
        <w:tblPrEx>
          <w:tblCellMar>
            <w:top w:w="0" w:type="dxa"/>
            <w:left w:w="0" w:type="dxa"/>
            <w:bottom w:w="0" w:type="dxa"/>
            <w:right w:w="0" w:type="dxa"/>
          </w:tblCellMar>
        </w:tblPrEx>
        <w:trPr>
          <w:trHeight w:val="340" w:hRule="exact"/>
        </w:trPr>
        <w:tc>
          <w:tcPr>
            <w:tcW w:w="488" w:type="dxa"/>
            <w:tcBorders>
              <w:top w:val="nil"/>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auto"/>
                <w:sz w:val="22"/>
                <w:highlight w:val="none"/>
              </w:rPr>
            </w:pPr>
            <w:r>
              <w:rPr>
                <w:rFonts w:hint="default" w:ascii="Times New Roman" w:hAnsi="Times New Roman" w:eastAsia="宋体" w:cs="Times New Roman"/>
                <w:color w:val="auto"/>
                <w:kern w:val="0"/>
                <w:sz w:val="22"/>
                <w:highlight w:val="none"/>
                <w:lang w:bidi="ar"/>
              </w:rPr>
              <w:t>18</w:t>
            </w:r>
          </w:p>
        </w:tc>
        <w:tc>
          <w:tcPr>
            <w:tcW w:w="49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bCs/>
                <w:color w:val="000000"/>
                <w:sz w:val="22"/>
                <w:highlight w:val="none"/>
              </w:rPr>
            </w:pPr>
            <w:r>
              <w:rPr>
                <w:rFonts w:hint="default" w:ascii="Times New Roman" w:hAnsi="Times New Roman" w:eastAsia="宋体" w:cs="Times New Roman"/>
                <w:bCs/>
                <w:color w:val="000000"/>
                <w:kern w:val="0"/>
                <w:sz w:val="22"/>
                <w:highlight w:val="none"/>
              </w:rPr>
              <w:t>月度  用电合同  转让交易</w:t>
            </w:r>
          </w:p>
        </w:tc>
        <w:tc>
          <w:tcPr>
            <w:tcW w:w="52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51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475"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center"/>
              <w:textAlignment w:val="center"/>
              <w:rPr>
                <w:rFonts w:hint="default" w:ascii="Times New Roman" w:hAnsi="Times New Roman" w:eastAsia="宋体" w:cs="Times New Roman"/>
                <w:color w:val="000000"/>
                <w:sz w:val="20"/>
                <w:szCs w:val="20"/>
                <w:highlight w:val="none"/>
              </w:rPr>
            </w:pPr>
            <w:r>
              <w:rPr>
                <w:rFonts w:hint="default" w:ascii="Times New Roman" w:hAnsi="Times New Roman" w:eastAsia="宋体" w:cs="Times New Roman"/>
                <w:color w:val="000000"/>
                <w:kern w:val="0"/>
                <w:sz w:val="20"/>
                <w:szCs w:val="20"/>
                <w:highlight w:val="none"/>
              </w:rPr>
              <w:t>✔</w:t>
            </w:r>
          </w:p>
        </w:tc>
        <w:tc>
          <w:tcPr>
            <w:tcW w:w="663"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ind w:firstLine="0" w:firstLineChars="0"/>
              <w:jc w:val="center"/>
              <w:rPr>
                <w:rFonts w:hint="default" w:ascii="Times New Roman" w:hAnsi="Times New Roman" w:eastAsia="宋体" w:cs="Times New Roman"/>
                <w:color w:val="000000"/>
                <w:sz w:val="20"/>
                <w:szCs w:val="20"/>
                <w:highlight w:val="none"/>
              </w:rPr>
            </w:pPr>
          </w:p>
        </w:tc>
        <w:tc>
          <w:tcPr>
            <w:tcW w:w="4062"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同一受电省区售电公司、电力用户</w:t>
            </w:r>
          </w:p>
        </w:tc>
        <w:tc>
          <w:tcPr>
            <w:tcW w:w="3549" w:type="dxa"/>
            <w:tcBorders>
              <w:top w:val="single" w:color="000000" w:sz="4" w:space="0"/>
              <w:left w:val="single" w:color="000000" w:sz="4" w:space="0"/>
              <w:bottom w:val="single" w:color="000000" w:sz="4" w:space="0"/>
              <w:right w:val="single" w:color="000000" w:sz="4" w:space="0"/>
            </w:tcBorders>
            <w:tcMar>
              <w:top w:w="9" w:type="dxa"/>
              <w:left w:w="9" w:type="dxa"/>
              <w:right w:w="9" w:type="dxa"/>
            </w:tcMar>
            <w:vAlign w:val="center"/>
          </w:tcPr>
          <w:p>
            <w:pPr>
              <w:widowControl/>
              <w:ind w:firstLine="0" w:firstLineChars="0"/>
              <w:jc w:val="both"/>
              <w:textAlignment w:val="center"/>
              <w:rPr>
                <w:rFonts w:hint="default" w:ascii="Times New Roman" w:hAnsi="Times New Roman" w:eastAsia="宋体" w:cs="Times New Roman"/>
                <w:bCs/>
                <w:color w:val="000000"/>
                <w:kern w:val="0"/>
                <w:sz w:val="22"/>
                <w:highlight w:val="none"/>
                <w:lang w:bidi="ar"/>
              </w:rPr>
            </w:pPr>
            <w:r>
              <w:rPr>
                <w:rFonts w:hint="default" w:ascii="Times New Roman" w:hAnsi="Times New Roman" w:eastAsia="宋体" w:cs="Times New Roman"/>
                <w:bCs/>
                <w:color w:val="000000"/>
                <w:kern w:val="0"/>
                <w:sz w:val="22"/>
                <w:highlight w:val="none"/>
              </w:rPr>
              <w:t>同一受电省区售电公司、电力用户</w:t>
            </w:r>
          </w:p>
        </w:tc>
      </w:tr>
    </w:tbl>
    <w:p>
      <w:pPr>
        <w:rPr>
          <w:rFonts w:hint="default" w:ascii="Times New Roman" w:hAnsi="Times New Roman" w:eastAsia="黑体" w:cs="Times New Roman"/>
          <w:bCs w:val="0"/>
          <w:kern w:val="2"/>
          <w:sz w:val="30"/>
          <w:szCs w:val="30"/>
          <w:highlight w:val="none"/>
        </w:rPr>
        <w:sectPr>
          <w:pgSz w:w="16838" w:h="11906" w:orient="landscape"/>
          <w:pgMar w:top="1803" w:right="1440" w:bottom="1803" w:left="1440" w:header="851" w:footer="992" w:gutter="0"/>
          <w:pgNumType w:fmt="decimal"/>
          <w:cols w:space="720" w:num="1"/>
          <w:docGrid w:type="lines" w:linePitch="415" w:charSpace="0"/>
        </w:sectPr>
      </w:pPr>
      <w:bookmarkStart w:id="53" w:name="_Toc32259"/>
      <w:bookmarkStart w:id="54" w:name="_Toc88663444"/>
    </w:p>
    <w:p>
      <w:pPr>
        <w:keepNext w:val="0"/>
        <w:keepLines w:val="0"/>
        <w:pageBreakBefore w:val="0"/>
        <w:widowControl w:val="0"/>
        <w:kinsoku/>
        <w:wordWrap/>
        <w:overflowPunct/>
        <w:topLinePunct w:val="0"/>
        <w:autoSpaceDE/>
        <w:autoSpaceDN/>
        <w:bidi w:val="0"/>
        <w:adjustRightInd/>
        <w:snapToGrid/>
        <w:spacing w:afterLines="50" w:line="560" w:lineRule="exact"/>
        <w:ind w:firstLine="0" w:firstLineChars="0"/>
        <w:jc w:val="left"/>
        <w:textAlignment w:val="auto"/>
        <w:rPr>
          <w:rFonts w:hint="default" w:ascii="Times New Roman" w:hAnsi="Times New Roman" w:eastAsia="黑体" w:cs="Times New Roman"/>
          <w:bCs w:val="0"/>
          <w:kern w:val="2"/>
          <w:sz w:val="30"/>
          <w:szCs w:val="30"/>
          <w:highlight w:val="none"/>
        </w:rPr>
      </w:pPr>
      <w:r>
        <w:rPr>
          <w:rFonts w:hint="default" w:ascii="Times New Roman" w:hAnsi="Times New Roman" w:eastAsia="黑体" w:cs="Times New Roman"/>
          <w:bCs w:val="0"/>
          <w:kern w:val="2"/>
          <w:sz w:val="30"/>
          <w:szCs w:val="30"/>
          <w:highlight w:val="none"/>
        </w:rPr>
        <w:t>附件2</w:t>
      </w:r>
    </w:p>
    <w:p>
      <w:pPr>
        <w:keepNext w:val="0"/>
        <w:keepLines w:val="0"/>
        <w:pageBreakBefore w:val="0"/>
        <w:widowControl w:val="0"/>
        <w:kinsoku/>
        <w:wordWrap/>
        <w:overflowPunct/>
        <w:topLinePunct w:val="0"/>
        <w:autoSpaceDE/>
        <w:autoSpaceDN/>
        <w:bidi w:val="0"/>
        <w:adjustRightInd/>
        <w:snapToGrid/>
        <w:spacing w:afterLines="50" w:line="560" w:lineRule="exact"/>
        <w:ind w:firstLine="0" w:firstLineChars="0"/>
        <w:jc w:val="center"/>
        <w:textAlignment w:val="auto"/>
        <w:rPr>
          <w:rFonts w:hint="default" w:ascii="Times New Roman" w:hAnsi="Times New Roman" w:eastAsia="方正小标宋简体" w:cs="Times New Roman"/>
          <w:bCs w:val="0"/>
          <w:kern w:val="2"/>
          <w:sz w:val="30"/>
          <w:szCs w:val="30"/>
          <w:highlight w:val="none"/>
        </w:rPr>
      </w:pPr>
      <w:r>
        <w:rPr>
          <w:rFonts w:hint="default" w:ascii="Times New Roman" w:hAnsi="Times New Roman" w:eastAsia="方正小标宋简体" w:cs="Times New Roman"/>
          <w:bCs w:val="0"/>
          <w:kern w:val="2"/>
          <w:sz w:val="30"/>
          <w:szCs w:val="30"/>
          <w:highlight w:val="none"/>
        </w:rPr>
        <w:t>交易品种说明</w:t>
      </w:r>
      <w:bookmarkEnd w:id="53"/>
      <w:bookmarkEnd w:id="54"/>
    </w:p>
    <w:p>
      <w:pPr>
        <w:keepNext/>
        <w:keepLines/>
        <w:pageBreakBefore w:val="0"/>
        <w:widowControl w:val="0"/>
        <w:numPr>
          <w:ilvl w:val="0"/>
          <w:numId w:val="16"/>
        </w:numPr>
        <w:kinsoku/>
        <w:wordWrap/>
        <w:overflowPunct/>
        <w:topLinePunct w:val="0"/>
        <w:autoSpaceDE/>
        <w:autoSpaceDN/>
        <w:bidi w:val="0"/>
        <w:adjustRightInd/>
        <w:snapToGri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55" w:name="_Toc88663445"/>
      <w:bookmarkStart w:id="56" w:name="_Toc15139"/>
      <w:bookmarkStart w:id="57" w:name="_Toc5814"/>
      <w:bookmarkStart w:id="58" w:name="_Toc503381438"/>
      <w:bookmarkStart w:id="59" w:name="_Toc505691918"/>
      <w:bookmarkStart w:id="60" w:name="_Toc521936277"/>
      <w:bookmarkStart w:id="61" w:name="_Toc17757"/>
      <w:r>
        <w:rPr>
          <w:rFonts w:hint="default" w:ascii="Times New Roman" w:hAnsi="Times New Roman" w:eastAsia="黑体" w:cs="Times New Roman"/>
          <w:szCs w:val="30"/>
          <w:highlight w:val="none"/>
        </w:rPr>
        <w:t>年度/月度/周</w:t>
      </w:r>
      <w:r>
        <w:rPr>
          <w:rFonts w:hint="eastAsia" w:eastAsia="黑体" w:cs="Times New Roman"/>
          <w:szCs w:val="30"/>
          <w:highlight w:val="none"/>
          <w:lang w:eastAsia="zh-CN"/>
        </w:rPr>
        <w:t>跨省跨区优先发电规模计划电量</w:t>
      </w:r>
      <w:r>
        <w:rPr>
          <w:rFonts w:hint="default" w:ascii="Times New Roman" w:hAnsi="Times New Roman" w:eastAsia="黑体" w:cs="Times New Roman"/>
          <w:szCs w:val="30"/>
          <w:highlight w:val="none"/>
        </w:rPr>
        <w:t>外送交易（协商）</w:t>
      </w:r>
      <w:bookmarkEnd w:id="55"/>
      <w:bookmarkEnd w:id="56"/>
    </w:p>
    <w:bookmarkEnd w:id="57"/>
    <w:bookmarkEnd w:id="58"/>
    <w:bookmarkEnd w:id="59"/>
    <w:bookmarkEnd w:id="60"/>
    <w:bookmarkEnd w:id="61"/>
    <w:p>
      <w:pPr>
        <w:numPr>
          <w:ilvl w:val="0"/>
          <w:numId w:val="17"/>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w:t>
      </w:r>
    </w:p>
    <w:p>
      <w:pPr>
        <w:numPr>
          <w:ilvl w:val="0"/>
          <w:numId w:val="17"/>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外送交易。</w:t>
      </w:r>
    </w:p>
    <w:p>
      <w:pPr>
        <w:numPr>
          <w:ilvl w:val="0"/>
          <w:numId w:val="17"/>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送电省区电网企业、点对网送电电厂</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受电省区电网企业</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w:t>
      </w:r>
    </w:p>
    <w:p>
      <w:pPr>
        <w:numPr>
          <w:ilvl w:val="0"/>
          <w:numId w:val="17"/>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numPr>
          <w:ilvl w:val="0"/>
          <w:numId w:val="17"/>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协商交易：售电主体申报，购电主体确认</w:t>
      </w:r>
    </w:p>
    <w:p>
      <w:pPr>
        <w:numPr>
          <w:ilvl w:val="0"/>
          <w:numId w:val="17"/>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申报电量、价格为申报关口的电量和价格，其中申报关口为售电主体与超高压公司之间的计量关口。申报电量、价格按照省间核定线损、省间输电费和线损电费分别折算至交易关口，作为售电申报折算电量。</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申报电量、价格为申报关口的电量和价格，其中申报关口与交易关口为同一关口。</w:t>
      </w:r>
    </w:p>
    <w:p>
      <w:pPr>
        <w:numPr>
          <w:ilvl w:val="0"/>
          <w:numId w:val="17"/>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overflowPunct w:val="0"/>
        <w:snapToGrid w:val="0"/>
        <w:spacing w:line="560" w:lineRule="exact"/>
        <w:ind w:left="709" w:firstLine="602"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相关</w:t>
      </w:r>
      <w:r>
        <w:rPr>
          <w:rFonts w:hint="eastAsia" w:cs="Times New Roman"/>
          <w:szCs w:val="30"/>
          <w:highlight w:val="none"/>
          <w:lang w:eastAsia="zh-CN"/>
        </w:rPr>
        <w:t>经营主体</w:t>
      </w:r>
      <w:r>
        <w:rPr>
          <w:rFonts w:hint="default" w:ascii="Times New Roman" w:hAnsi="Times New Roman" w:cs="Times New Roman"/>
          <w:szCs w:val="30"/>
          <w:highlight w:val="none"/>
        </w:rPr>
        <w:t>协商一致后，在广州电力交易中心，由售电主体申报，购电主体确认优先计划。广州电力交易中心进行交易出清。</w:t>
      </w:r>
    </w:p>
    <w:p>
      <w:pPr>
        <w:overflowPunct w:val="0"/>
        <w:snapToGrid w:val="0"/>
        <w:spacing w:line="560" w:lineRule="exact"/>
        <w:ind w:left="709" w:firstLine="602"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如</w:t>
      </w:r>
      <w:r>
        <w:rPr>
          <w:rFonts w:hint="eastAsia" w:cs="Times New Roman"/>
          <w:szCs w:val="30"/>
          <w:highlight w:val="none"/>
          <w:lang w:eastAsia="zh-CN"/>
        </w:rPr>
        <w:t>经营主体</w:t>
      </w:r>
      <w:r>
        <w:rPr>
          <w:rFonts w:hint="default" w:ascii="Times New Roman" w:hAnsi="Times New Roman" w:cs="Times New Roman"/>
          <w:szCs w:val="30"/>
          <w:highlight w:val="none"/>
        </w:rPr>
        <w:t>已经签订购售电合同，应将签订的购售电合同及时提交广州电力交易中心备案，并根据购售电合同的约定向广州电力交易中心进行交易申报和确认。</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售电主体总申报折算电量未超过交易规模时，申报折算电量即为成交电量。若售电主体总申报折算电量超过交易规模时，按申报折算电量比例成交。</w:t>
      </w:r>
    </w:p>
    <w:p>
      <w:pPr>
        <w:numPr>
          <w:ilvl w:val="0"/>
          <w:numId w:val="0"/>
        </w:numPr>
        <w:overflowPunct w:val="0"/>
        <w:snapToGrid w:val="0"/>
        <w:spacing w:line="560" w:lineRule="exact"/>
        <w:ind w:left="709" w:firstLine="600"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售电主体申报折算价格即为成交价格。</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售电主体成交电量和价格：</w:t>
      </w:r>
      <w:r>
        <w:rPr>
          <w:rFonts w:hint="default" w:ascii="Times New Roman" w:hAnsi="Times New Roman" w:cs="Times New Roman"/>
          <w:szCs w:val="30"/>
          <w:highlight w:val="none"/>
        </w:rPr>
        <w:t>售电主体成交电量、价格分别由成交电量、价格按照省间核定线损、省间输电费和线损电费折算至售电主体申报关口。</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购电主体成交电量和价格：</w:t>
      </w:r>
      <w:r>
        <w:rPr>
          <w:rFonts w:hint="default" w:ascii="Times New Roman" w:hAnsi="Times New Roman" w:cs="Times New Roman"/>
          <w:szCs w:val="30"/>
          <w:highlight w:val="none"/>
        </w:rPr>
        <w:t>购电主体成交电量、价格即为成交电量、价格。</w:t>
      </w:r>
    </w:p>
    <w:p>
      <w:pPr>
        <w:keepNext/>
        <w:keepLines/>
        <w:pageBreakBefore w:val="0"/>
        <w:widowControl w:val="0"/>
        <w:numPr>
          <w:ilvl w:val="0"/>
          <w:numId w:val="16"/>
        </w:numPr>
        <w:kinsoku/>
        <w:wordWrap/>
        <w:overflowPunct/>
        <w:topLinePunct w:val="0"/>
        <w:autoSpaceDE/>
        <w:autoSpaceDN/>
        <w:bidi w:val="0"/>
        <w:adjustRightInd/>
        <w:snapToGri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62" w:name="_Toc88663446"/>
      <w:bookmarkStart w:id="63" w:name="_Toc2736"/>
      <w:r>
        <w:rPr>
          <w:rFonts w:hint="default" w:ascii="Times New Roman" w:hAnsi="Times New Roman" w:eastAsia="黑体" w:cs="Times New Roman"/>
          <w:szCs w:val="30"/>
          <w:highlight w:val="none"/>
        </w:rPr>
        <w:t>年度/月度/周增送电量外送交易（协商）</w:t>
      </w:r>
      <w:bookmarkEnd w:id="62"/>
      <w:bookmarkEnd w:id="63"/>
    </w:p>
    <w:p>
      <w:pPr>
        <w:numPr>
          <w:ilvl w:val="0"/>
          <w:numId w:val="18"/>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增量电量。</w:t>
      </w:r>
    </w:p>
    <w:p>
      <w:pPr>
        <w:numPr>
          <w:ilvl w:val="0"/>
          <w:numId w:val="18"/>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外送交易。</w:t>
      </w:r>
    </w:p>
    <w:p>
      <w:pPr>
        <w:numPr>
          <w:ilvl w:val="0"/>
          <w:numId w:val="18"/>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送电省区电网企业、点对网送电电厂</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受电省区电网企业</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w:t>
      </w:r>
    </w:p>
    <w:p>
      <w:pPr>
        <w:numPr>
          <w:ilvl w:val="0"/>
          <w:numId w:val="18"/>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numPr>
          <w:ilvl w:val="0"/>
          <w:numId w:val="18"/>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协商交易：售电主体申报，购电主体确认</w:t>
      </w:r>
    </w:p>
    <w:p>
      <w:pPr>
        <w:numPr>
          <w:ilvl w:val="0"/>
          <w:numId w:val="18"/>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申报电量、价格为申报关口的电量和价格，其中申报关口为售电主体与超高压公司之间的计量关口。申报电量、价格按照省间核定线损、省间输电费和线损电费分别折算至交易关口，作为售电申报折算电量。</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申报电量、价格为申报关口的电量和价格，其中申报关口与交易关口为同一关口。</w:t>
      </w:r>
    </w:p>
    <w:p>
      <w:pPr>
        <w:numPr>
          <w:ilvl w:val="0"/>
          <w:numId w:val="18"/>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overflowPunct w:val="0"/>
        <w:snapToGrid w:val="0"/>
        <w:spacing w:line="560" w:lineRule="exact"/>
        <w:ind w:left="709" w:firstLine="602"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相关</w:t>
      </w:r>
      <w:r>
        <w:rPr>
          <w:rFonts w:hint="eastAsia" w:cs="Times New Roman"/>
          <w:szCs w:val="30"/>
          <w:highlight w:val="none"/>
          <w:lang w:eastAsia="zh-CN"/>
        </w:rPr>
        <w:t>经营主体</w:t>
      </w:r>
      <w:r>
        <w:rPr>
          <w:rFonts w:hint="default" w:ascii="Times New Roman" w:hAnsi="Times New Roman" w:cs="Times New Roman"/>
          <w:szCs w:val="30"/>
          <w:highlight w:val="none"/>
        </w:rPr>
        <w:t>协商一致后，在广州电力交易中心，由售电主体申报，购电主体确认增送电量。广州电力交易中心进行交易出清。</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售电主体总申报折算电量未超过交易规模时，申报折算电量即为成交电量。若售电主体总申报折算电量超过交易规模时，按申报折算电量比例成交。</w:t>
      </w:r>
    </w:p>
    <w:p>
      <w:pPr>
        <w:numPr>
          <w:ilvl w:val="0"/>
          <w:numId w:val="0"/>
        </w:numPr>
        <w:overflowPunct w:val="0"/>
        <w:snapToGrid w:val="0"/>
        <w:spacing w:line="560" w:lineRule="exact"/>
        <w:ind w:left="709" w:firstLine="600"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售电主体申报折算价格即为成交价格。</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售电主体成交电量和价格：</w:t>
      </w:r>
      <w:r>
        <w:rPr>
          <w:rFonts w:hint="default" w:ascii="Times New Roman" w:hAnsi="Times New Roman" w:cs="Times New Roman"/>
          <w:szCs w:val="30"/>
          <w:highlight w:val="none"/>
        </w:rPr>
        <w:t>售电主体成交电量、价格分别由成交电量、价格按照省间核定线损、省间输电费和线损电费折算至售电主体申报关口。</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购电主体成交电量和价格：</w:t>
      </w:r>
      <w:r>
        <w:rPr>
          <w:rFonts w:hint="default" w:ascii="Times New Roman" w:hAnsi="Times New Roman" w:cs="Times New Roman"/>
          <w:szCs w:val="30"/>
          <w:highlight w:val="none"/>
        </w:rPr>
        <w:t>购电主体成交电量、价格即为成交电量、价格。</w:t>
      </w:r>
    </w:p>
    <w:p>
      <w:pPr>
        <w:keepNext/>
        <w:keepLines/>
        <w:pageBreakBefore w:val="0"/>
        <w:widowControl w:val="0"/>
        <w:numPr>
          <w:ilvl w:val="0"/>
          <w:numId w:val="16"/>
        </w:numPr>
        <w:kinsoku/>
        <w:wordWrap/>
        <w:overflowPunct/>
        <w:topLinePunct w:val="0"/>
        <w:autoSpaceDE/>
        <w:autoSpaceDN/>
        <w:bidi w:val="0"/>
        <w:adjustRightInd/>
        <w:snapToGri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64" w:name="_Toc88663447"/>
      <w:bookmarkStart w:id="65" w:name="_Toc16177"/>
      <w:r>
        <w:rPr>
          <w:rFonts w:hint="default" w:ascii="Times New Roman" w:hAnsi="Times New Roman" w:eastAsia="黑体" w:cs="Times New Roman"/>
          <w:szCs w:val="30"/>
          <w:highlight w:val="none"/>
        </w:rPr>
        <w:t>年度/月度</w:t>
      </w:r>
      <w:r>
        <w:rPr>
          <w:rFonts w:hint="default" w:ascii="Times New Roman" w:hAnsi="Times New Roman" w:eastAsia="黑体" w:cs="Times New Roman"/>
          <w:szCs w:val="30"/>
          <w:highlight w:val="none"/>
          <w:lang w:val="en-US" w:eastAsia="zh-CN"/>
        </w:rPr>
        <w:t>/周</w:t>
      </w:r>
      <w:r>
        <w:rPr>
          <w:rFonts w:hint="eastAsia" w:eastAsia="黑体" w:cs="Times New Roman"/>
          <w:szCs w:val="30"/>
          <w:highlight w:val="none"/>
          <w:lang w:eastAsia="zh-CN"/>
        </w:rPr>
        <w:t>跨省跨区优先发电规模计划电量</w:t>
      </w:r>
      <w:r>
        <w:rPr>
          <w:rFonts w:hint="default" w:ascii="Times New Roman" w:hAnsi="Times New Roman" w:eastAsia="黑体" w:cs="Times New Roman"/>
          <w:szCs w:val="30"/>
          <w:highlight w:val="none"/>
        </w:rPr>
        <w:t>直接交易（协商）</w:t>
      </w:r>
      <w:bookmarkEnd w:id="64"/>
      <w:bookmarkEnd w:id="65"/>
    </w:p>
    <w:p>
      <w:pPr>
        <w:numPr>
          <w:ilvl w:val="0"/>
          <w:numId w:val="19"/>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w:t>
      </w:r>
    </w:p>
    <w:p>
      <w:pPr>
        <w:numPr>
          <w:ilvl w:val="0"/>
          <w:numId w:val="19"/>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直接交易。</w:t>
      </w:r>
    </w:p>
    <w:p>
      <w:pPr>
        <w:numPr>
          <w:ilvl w:val="0"/>
          <w:numId w:val="19"/>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送电省区发电企业、点对网送电电厂</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受电省区电力用户、售电公司、</w:t>
      </w:r>
      <w:r>
        <w:rPr>
          <w:rFonts w:hint="default" w:ascii="Times New Roman" w:hAnsi="Times New Roman" w:cs="Times New Roman"/>
          <w:color w:val="000000"/>
          <w:szCs w:val="30"/>
          <w:highlight w:val="none"/>
        </w:rPr>
        <w:t>储能企业</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超高压公司、送受端电网</w:t>
      </w:r>
    </w:p>
    <w:p>
      <w:pPr>
        <w:numPr>
          <w:ilvl w:val="0"/>
          <w:numId w:val="19"/>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numPr>
          <w:ilvl w:val="0"/>
          <w:numId w:val="19"/>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协商交易：售电主体申报，购电主体确认</w:t>
      </w:r>
    </w:p>
    <w:p>
      <w:pPr>
        <w:numPr>
          <w:ilvl w:val="0"/>
          <w:numId w:val="19"/>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申报电量、价格为申报关口的电量和价格，其中申报关口分三类：一是送电省区发电企业与所在省区电网企业之间的计量关口；二是点对网送电电厂与超高压公司之间的计量关口；三是送电省区电网企业与超高压公司之间的计量关口。申报电量、价格按照省间、送电省内核定线损、输电费和线损电费分别折算至交易关口，作为售电申报折算电量。</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申报电量、价格为申报关口的电量和价格，其中申报关口与交易关口为同一关口。</w:t>
      </w:r>
    </w:p>
    <w:p>
      <w:pPr>
        <w:numPr>
          <w:ilvl w:val="0"/>
          <w:numId w:val="19"/>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overflowPunct w:val="0"/>
        <w:snapToGrid w:val="0"/>
        <w:spacing w:line="560" w:lineRule="exact"/>
        <w:ind w:left="709" w:firstLine="602"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相关</w:t>
      </w:r>
      <w:r>
        <w:rPr>
          <w:rFonts w:hint="eastAsia" w:cs="Times New Roman"/>
          <w:szCs w:val="30"/>
          <w:highlight w:val="none"/>
          <w:lang w:eastAsia="zh-CN"/>
        </w:rPr>
        <w:t>经营主体</w:t>
      </w:r>
      <w:r>
        <w:rPr>
          <w:rFonts w:hint="default" w:ascii="Times New Roman" w:hAnsi="Times New Roman" w:cs="Times New Roman"/>
          <w:szCs w:val="30"/>
          <w:highlight w:val="none"/>
        </w:rPr>
        <w:t>协商一致后，在广州电力交易中心，由售电主体申报，购电主体确认增送电量。广州电力交易中心进行交易出清。</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售电主体总申报折算电量未超过交易规模时，申报折算电量即为成交电量。若售电主体总申报折算电量超过交易规模时，按申报折算电量比例成交。</w:t>
      </w:r>
    </w:p>
    <w:p>
      <w:pPr>
        <w:numPr>
          <w:ilvl w:val="0"/>
          <w:numId w:val="0"/>
        </w:numPr>
        <w:overflowPunct w:val="0"/>
        <w:snapToGrid w:val="0"/>
        <w:spacing w:line="560" w:lineRule="exact"/>
        <w:ind w:left="709" w:firstLine="600" w:firstLineChars="200"/>
        <w:rPr>
          <w:rFonts w:hint="default" w:ascii="Times New Roman" w:hAnsi="Times New Roman" w:cs="Times New Roman"/>
          <w:szCs w:val="30"/>
          <w:highlight w:val="none"/>
        </w:rPr>
      </w:pPr>
      <w:r>
        <w:rPr>
          <w:rFonts w:hint="default" w:ascii="Times New Roman" w:hAnsi="Times New Roman" w:cs="Times New Roman"/>
          <w:szCs w:val="30"/>
          <w:highlight w:val="none"/>
        </w:rPr>
        <w:t>售电主体申报折算价格即为成交价格。</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售电主体成交电量和价格：</w:t>
      </w:r>
      <w:r>
        <w:rPr>
          <w:rFonts w:hint="default" w:ascii="Times New Roman" w:hAnsi="Times New Roman" w:cs="Times New Roman"/>
          <w:szCs w:val="30"/>
          <w:highlight w:val="none"/>
        </w:rPr>
        <w:t>售电主体成交电量、价格分别由成交电量、价格按照省间、送电省内核定线损、输电费和线损电费折算至售电主体申报关口。</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购电主体成交电量和价格：</w:t>
      </w:r>
      <w:r>
        <w:rPr>
          <w:rFonts w:hint="default" w:ascii="Times New Roman" w:hAnsi="Times New Roman" w:cs="Times New Roman"/>
          <w:szCs w:val="30"/>
          <w:highlight w:val="none"/>
        </w:rPr>
        <w:t>购电主体成交电量、价格即为成交电量、价格。</w:t>
      </w:r>
    </w:p>
    <w:p>
      <w:pPr>
        <w:keepNext/>
        <w:keepLines/>
        <w:pageBreakBefore w:val="0"/>
        <w:widowControl w:val="0"/>
        <w:numPr>
          <w:ilvl w:val="0"/>
          <w:numId w:val="16"/>
        </w:numPr>
        <w:kinsoku/>
        <w:wordWrap/>
        <w:overflowPunct/>
        <w:topLinePunct w:val="0"/>
        <w:autoSpaceDE/>
        <w:autoSpaceDN/>
        <w:bidi w:val="0"/>
        <w:adjustRightInd/>
        <w:snapToGri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66" w:name="_Toc88663448"/>
      <w:bookmarkStart w:id="67" w:name="_Toc20582"/>
      <w:r>
        <w:rPr>
          <w:rFonts w:hint="default" w:ascii="Times New Roman" w:hAnsi="Times New Roman" w:eastAsia="黑体" w:cs="Times New Roman"/>
          <w:szCs w:val="30"/>
          <w:highlight w:val="none"/>
        </w:rPr>
        <w:t>年度/月度</w:t>
      </w:r>
      <w:r>
        <w:rPr>
          <w:rFonts w:hint="default" w:ascii="Times New Roman" w:hAnsi="Times New Roman" w:eastAsia="黑体" w:cs="Times New Roman"/>
          <w:szCs w:val="30"/>
          <w:highlight w:val="none"/>
          <w:lang w:val="en-US" w:eastAsia="zh-CN"/>
        </w:rPr>
        <w:t>/周</w:t>
      </w:r>
      <w:r>
        <w:rPr>
          <w:rFonts w:hint="eastAsia" w:eastAsia="黑体" w:cs="Times New Roman"/>
          <w:szCs w:val="30"/>
          <w:highlight w:val="none"/>
          <w:lang w:eastAsia="zh-CN"/>
        </w:rPr>
        <w:t>跨省跨区优先发电规模计划电量</w:t>
      </w:r>
      <w:r>
        <w:rPr>
          <w:rFonts w:hint="default" w:ascii="Times New Roman" w:hAnsi="Times New Roman" w:eastAsia="黑体" w:cs="Times New Roman"/>
          <w:szCs w:val="30"/>
          <w:highlight w:val="none"/>
        </w:rPr>
        <w:t>直接交易（竞价）</w:t>
      </w:r>
      <w:bookmarkEnd w:id="66"/>
      <w:bookmarkEnd w:id="67"/>
    </w:p>
    <w:p>
      <w:pPr>
        <w:numPr>
          <w:ilvl w:val="0"/>
          <w:numId w:val="20"/>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w:t>
      </w:r>
    </w:p>
    <w:p>
      <w:pPr>
        <w:numPr>
          <w:ilvl w:val="0"/>
          <w:numId w:val="20"/>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直接交易。</w:t>
      </w:r>
    </w:p>
    <w:p>
      <w:pPr>
        <w:numPr>
          <w:ilvl w:val="0"/>
          <w:numId w:val="20"/>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送电省区发电企业、点对网送电电厂</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受电省区电力用户、售电公司、储能企业</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超高压公司、送受端电网</w:t>
      </w:r>
    </w:p>
    <w:p>
      <w:pPr>
        <w:numPr>
          <w:ilvl w:val="0"/>
          <w:numId w:val="20"/>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numPr>
          <w:ilvl w:val="0"/>
          <w:numId w:val="20"/>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竞价交易：统一边际出清</w:t>
      </w:r>
    </w:p>
    <w:p>
      <w:pPr>
        <w:numPr>
          <w:ilvl w:val="0"/>
          <w:numId w:val="20"/>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申报电量、价格为申报关口的电量和价格，其中申报关口分三类：一是送电省区发电企业与所在省区电网企业之间的计量关口；二是点对网送电电厂与超高压公司之间的计量关口；三是送电省区电网企业与超高压公司之间的计量关口。申报电量、价格按照省间、送电省内核定线损、输电费和线损电费分别折算至交易关口，作为售电申报折算电量。</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申报电量、价格为申报关口的电量和价格，其中申报关口与交易关口为同一关口。</w:t>
      </w:r>
    </w:p>
    <w:p>
      <w:pPr>
        <w:numPr>
          <w:ilvl w:val="0"/>
          <w:numId w:val="20"/>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overflowPunct w:val="0"/>
        <w:snapToGrid w:val="0"/>
        <w:spacing w:line="560" w:lineRule="exact"/>
        <w:ind w:left="709" w:firstLine="602"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当购电折算价格大于售电折算价格时可成交。按照购电折算价格减去售电折算价格的价差大小依次成交。</w:t>
      </w:r>
    </w:p>
    <w:p>
      <w:pPr>
        <w:overflowPunct w:val="0"/>
        <w:snapToGrid w:val="0"/>
        <w:spacing w:line="560" w:lineRule="exact"/>
        <w:ind w:left="709" w:firstLine="602" w:firstLineChars="0"/>
        <w:rPr>
          <w:rFonts w:hint="default" w:ascii="Times New Roman" w:hAnsi="Times New Roman" w:cs="Times New Roman"/>
          <w:szCs w:val="30"/>
          <w:highlight w:val="none"/>
        </w:rPr>
      </w:pPr>
      <w:r>
        <w:rPr>
          <w:rFonts w:hint="default" w:ascii="Times New Roman" w:hAnsi="Times New Roman" w:cs="Times New Roman"/>
          <w:szCs w:val="30"/>
          <w:highlight w:val="none"/>
        </w:rPr>
        <w:t>当总可成交规模超过交易规模时，或购电折算价格减去售电折算价格的价差为负时，交易结束。</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成交电量为售电折算电量与购电折算电量的较小值。成交价格为购电折算价格与售电折算价格的平均值。</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售电主体成交电量和价格：</w:t>
      </w:r>
      <w:r>
        <w:rPr>
          <w:rFonts w:hint="default" w:ascii="Times New Roman" w:hAnsi="Times New Roman" w:cs="Times New Roman"/>
          <w:szCs w:val="30"/>
          <w:highlight w:val="none"/>
        </w:rPr>
        <w:t>售电主体成交电量、价格分别由成交电量、价格按照省间、送电省内核定线损、输电费和线损电费折算至售电主体申报关口。</w:t>
      </w:r>
    </w:p>
    <w:p>
      <w:pPr>
        <w:numPr>
          <w:ilvl w:val="0"/>
          <w:numId w:val="0"/>
        </w:numPr>
        <w:overflowPunct w:val="0"/>
        <w:snapToGrid w:val="0"/>
        <w:spacing w:line="560" w:lineRule="exact"/>
        <w:ind w:left="709" w:firstLine="602" w:firstLineChars="200"/>
        <w:rPr>
          <w:rFonts w:hint="default" w:ascii="Times New Roman" w:hAnsi="Times New Roman" w:cs="Times New Roman"/>
          <w:szCs w:val="30"/>
          <w:highlight w:val="none"/>
        </w:rPr>
      </w:pPr>
      <w:r>
        <w:rPr>
          <w:rFonts w:hint="default" w:ascii="Times New Roman" w:hAnsi="Times New Roman" w:cs="Times New Roman"/>
          <w:b/>
          <w:bCs/>
          <w:szCs w:val="30"/>
          <w:highlight w:val="none"/>
        </w:rPr>
        <w:t>购电主体成交电量和价格：</w:t>
      </w:r>
      <w:r>
        <w:rPr>
          <w:rFonts w:hint="default" w:ascii="Times New Roman" w:hAnsi="Times New Roman" w:cs="Times New Roman"/>
          <w:szCs w:val="30"/>
          <w:highlight w:val="none"/>
        </w:rPr>
        <w:t>购电主体成交电量、价格即为成交电量、价格。</w:t>
      </w:r>
    </w:p>
    <w:p>
      <w:pPr>
        <w:keepNext/>
        <w:keepLines/>
        <w:pageBreakBefore w:val="0"/>
        <w:widowControl w:val="0"/>
        <w:numPr>
          <w:ilvl w:val="0"/>
          <w:numId w:val="16"/>
        </w:numPr>
        <w:kinsoku/>
        <w:wordWrap/>
        <w:overflowPunct/>
        <w:topLinePunct w:val="0"/>
        <w:autoSpaceDE/>
        <w:autoSpaceDN/>
        <w:bidi w:val="0"/>
        <w:adjustRightInd/>
        <w:snapToGri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68" w:name="_Toc2065"/>
      <w:bookmarkStart w:id="69" w:name="_Toc88663449"/>
      <w:r>
        <w:rPr>
          <w:rFonts w:hint="default" w:ascii="Times New Roman" w:hAnsi="Times New Roman" w:eastAsia="黑体" w:cs="Times New Roman"/>
          <w:szCs w:val="30"/>
          <w:highlight w:val="none"/>
        </w:rPr>
        <w:t>年度/月度</w:t>
      </w:r>
      <w:r>
        <w:rPr>
          <w:rFonts w:hint="default" w:ascii="Times New Roman" w:hAnsi="Times New Roman" w:eastAsia="黑体" w:cs="Times New Roman"/>
          <w:szCs w:val="30"/>
          <w:highlight w:val="none"/>
          <w:lang w:val="en-US" w:eastAsia="zh-CN"/>
        </w:rPr>
        <w:t>/周</w:t>
      </w:r>
      <w:r>
        <w:rPr>
          <w:rFonts w:hint="eastAsia" w:eastAsia="黑体" w:cs="Times New Roman"/>
          <w:szCs w:val="30"/>
          <w:highlight w:val="none"/>
          <w:lang w:eastAsia="zh-CN"/>
        </w:rPr>
        <w:t>跨省跨区优先发电规模计划电量</w:t>
      </w:r>
      <w:r>
        <w:rPr>
          <w:rFonts w:hint="default" w:ascii="Times New Roman" w:hAnsi="Times New Roman" w:eastAsia="黑体" w:cs="Times New Roman"/>
          <w:szCs w:val="30"/>
          <w:highlight w:val="none"/>
        </w:rPr>
        <w:t>直接交易（挂牌）</w:t>
      </w:r>
      <w:bookmarkEnd w:id="68"/>
      <w:bookmarkEnd w:id="69"/>
    </w:p>
    <w:p>
      <w:pPr>
        <w:numPr>
          <w:ilvl w:val="0"/>
          <w:numId w:val="21"/>
        </w:numPr>
        <w:overflowPunct w:val="0"/>
        <w:snapToGrid w:val="0"/>
        <w:spacing w:line="560" w:lineRule="exact"/>
        <w:ind w:firstLine="602"/>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eastAsia" w:cs="Times New Roman"/>
          <w:szCs w:val="30"/>
          <w:highlight w:val="none"/>
          <w:lang w:eastAsia="zh-CN"/>
        </w:rPr>
        <w:t>跨省跨区优先发电规模计划电量</w:t>
      </w:r>
      <w:r>
        <w:rPr>
          <w:rFonts w:hint="default" w:ascii="Times New Roman" w:hAnsi="Times New Roman" w:cs="Times New Roman"/>
          <w:szCs w:val="30"/>
          <w:highlight w:val="none"/>
        </w:rPr>
        <w:t>。</w:t>
      </w:r>
    </w:p>
    <w:p>
      <w:pPr>
        <w:numPr>
          <w:ilvl w:val="0"/>
          <w:numId w:val="21"/>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直接交易。</w:t>
      </w:r>
    </w:p>
    <w:p>
      <w:pPr>
        <w:numPr>
          <w:ilvl w:val="0"/>
          <w:numId w:val="21"/>
        </w:numPr>
        <w:overflowPunct w:val="0"/>
        <w:snapToGrid w:val="0"/>
        <w:spacing w:line="560" w:lineRule="exact"/>
        <w:ind w:firstLine="602"/>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送电省区发电企业，点对网送电电厂</w:t>
      </w:r>
    </w:p>
    <w:p>
      <w:pPr>
        <w:numPr>
          <w:ilvl w:val="0"/>
          <w:numId w:val="0"/>
        </w:numPr>
        <w:overflowPunct w:val="0"/>
        <w:snapToGrid w:val="0"/>
        <w:spacing w:line="560" w:lineRule="exact"/>
        <w:ind w:left="709" w:firstLine="602"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受电省区电力用户、售电公司、储能企业</w:t>
      </w:r>
    </w:p>
    <w:p>
      <w:pPr>
        <w:numPr>
          <w:ilvl w:val="0"/>
          <w:numId w:val="0"/>
        </w:numPr>
        <w:overflowPunct w:val="0"/>
        <w:snapToGrid w:val="0"/>
        <w:spacing w:line="560" w:lineRule="exact"/>
        <w:ind w:left="709" w:firstLine="602" w:firstLineChars="200"/>
        <w:rPr>
          <w:rFonts w:hint="default" w:ascii="Times New Roman" w:hAnsi="Times New Roman" w:eastAsia="仿宋_GB2312" w:cs="Times New Roman"/>
          <w:b/>
          <w:bCs/>
          <w:color w:val="auto"/>
          <w:szCs w:val="30"/>
          <w:highlight w:val="none"/>
          <w:lang w:eastAsia="zh-CN"/>
        </w:rPr>
      </w:pPr>
      <w:r>
        <w:rPr>
          <w:rFonts w:hint="default" w:ascii="Times New Roman" w:hAnsi="Times New Roman" w:cs="Times New Roman"/>
          <w:b/>
          <w:bCs/>
          <w:color w:val="auto"/>
          <w:szCs w:val="30"/>
          <w:highlight w:val="none"/>
        </w:rPr>
        <w:t>输电主体：</w:t>
      </w:r>
      <w:r>
        <w:rPr>
          <w:rFonts w:hint="default" w:ascii="Times New Roman" w:hAnsi="Times New Roman" w:cs="Times New Roman"/>
          <w:b w:val="0"/>
          <w:bCs w:val="0"/>
          <w:color w:val="auto"/>
          <w:szCs w:val="30"/>
          <w:highlight w:val="none"/>
        </w:rPr>
        <w:t>超高压公司，</w:t>
      </w:r>
      <w:r>
        <w:rPr>
          <w:rFonts w:hint="default" w:ascii="Times New Roman" w:hAnsi="Times New Roman" w:cs="Times New Roman"/>
          <w:b w:val="0"/>
          <w:bCs w:val="0"/>
          <w:color w:val="auto"/>
          <w:szCs w:val="30"/>
          <w:highlight w:val="none"/>
          <w:lang w:eastAsia="zh-CN"/>
        </w:rPr>
        <w:t>相关电网公司</w:t>
      </w:r>
    </w:p>
    <w:p>
      <w:pPr>
        <w:numPr>
          <w:ilvl w:val="0"/>
          <w:numId w:val="21"/>
        </w:numPr>
        <w:overflowPunct w:val="0"/>
        <w:snapToGrid w:val="0"/>
        <w:spacing w:line="560" w:lineRule="exact"/>
        <w:ind w:left="300" w:leftChars="100" w:firstLine="605" w:firstLineChars="201"/>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交易关口：</w:t>
      </w:r>
      <w:r>
        <w:rPr>
          <w:rFonts w:hint="default" w:ascii="Times New Roman" w:hAnsi="Times New Roman" w:cs="Times New Roman"/>
          <w:b w:val="0"/>
          <w:bCs w:val="0"/>
          <w:color w:val="000000"/>
          <w:szCs w:val="30"/>
          <w:highlight w:val="none"/>
          <w:lang w:eastAsia="zh-CN"/>
        </w:rPr>
        <w:t>原则上为</w:t>
      </w:r>
      <w:r>
        <w:rPr>
          <w:rFonts w:hint="default" w:ascii="Times New Roman" w:hAnsi="Times New Roman" w:cs="Times New Roman"/>
          <w:color w:val="000000"/>
          <w:szCs w:val="30"/>
          <w:highlight w:val="none"/>
        </w:rPr>
        <w:t>受电省区电网企业与超高压公司之间的计量关口</w:t>
      </w:r>
      <w:r>
        <w:rPr>
          <w:rFonts w:hint="default" w:ascii="Times New Roman" w:hAnsi="Times New Roman" w:cs="Times New Roman"/>
          <w:color w:val="000000"/>
          <w:szCs w:val="30"/>
          <w:highlight w:val="none"/>
          <w:lang w:eastAsia="zh-CN"/>
        </w:rPr>
        <w:t>，具体在交易公告中明确</w:t>
      </w:r>
      <w:r>
        <w:rPr>
          <w:rFonts w:hint="default" w:ascii="Times New Roman" w:hAnsi="Times New Roman" w:cs="Times New Roman"/>
          <w:color w:val="000000"/>
          <w:szCs w:val="30"/>
          <w:highlight w:val="none"/>
        </w:rPr>
        <w:t>。</w:t>
      </w:r>
    </w:p>
    <w:p>
      <w:pPr>
        <w:numPr>
          <w:ilvl w:val="0"/>
          <w:numId w:val="21"/>
        </w:numPr>
        <w:tabs>
          <w:tab w:val="left" w:pos="0"/>
        </w:tabs>
        <w:overflowPunct w:val="0"/>
        <w:adjustRightInd w:val="0"/>
        <w:snapToGrid w:val="0"/>
        <w:spacing w:line="560" w:lineRule="exact"/>
        <w:ind w:left="288" w:leftChars="96" w:firstLine="614" w:firstLineChars="204"/>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交易方式：</w:t>
      </w:r>
      <w:r>
        <w:rPr>
          <w:rFonts w:hint="default" w:ascii="Times New Roman" w:hAnsi="Times New Roman" w:cs="Times New Roman"/>
          <w:color w:val="000000"/>
          <w:szCs w:val="30"/>
          <w:highlight w:val="none"/>
        </w:rPr>
        <w:t>挂牌交易</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可采用</w:t>
      </w:r>
      <w:r>
        <w:rPr>
          <w:rFonts w:hint="default" w:ascii="Times New Roman" w:hAnsi="Times New Roman" w:cs="Times New Roman"/>
          <w:color w:val="000000"/>
          <w:szCs w:val="30"/>
          <w:highlight w:val="none"/>
          <w:lang w:eastAsia="zh-CN"/>
        </w:rPr>
        <w:t>交易系统根据</w:t>
      </w:r>
      <w:r>
        <w:rPr>
          <w:rFonts w:hint="default" w:ascii="Times New Roman" w:hAnsi="Times New Roman" w:cs="Times New Roman"/>
          <w:color w:val="000000"/>
          <w:szCs w:val="30"/>
          <w:highlight w:val="none"/>
        </w:rPr>
        <w:t>购</w:t>
      </w:r>
      <w:r>
        <w:rPr>
          <w:rFonts w:hint="default" w:ascii="Times New Roman" w:hAnsi="Times New Roman" w:cs="Times New Roman"/>
          <w:color w:val="000000"/>
          <w:szCs w:val="30"/>
          <w:highlight w:val="none"/>
          <w:lang w:eastAsia="zh-CN"/>
        </w:rPr>
        <w:t>（售）</w:t>
      </w:r>
      <w:r>
        <w:rPr>
          <w:rFonts w:hint="default" w:ascii="Times New Roman" w:hAnsi="Times New Roman" w:cs="Times New Roman"/>
          <w:color w:val="000000"/>
          <w:szCs w:val="30"/>
          <w:highlight w:val="none"/>
        </w:rPr>
        <w:t>电主体</w:t>
      </w:r>
      <w:r>
        <w:rPr>
          <w:rFonts w:hint="default" w:ascii="Times New Roman" w:hAnsi="Times New Roman" w:cs="Times New Roman"/>
          <w:color w:val="000000"/>
          <w:szCs w:val="30"/>
          <w:highlight w:val="none"/>
          <w:lang w:eastAsia="zh-CN"/>
        </w:rPr>
        <w:t>自主</w:t>
      </w:r>
      <w:r>
        <w:rPr>
          <w:rFonts w:hint="default" w:ascii="Times New Roman" w:hAnsi="Times New Roman" w:cs="Times New Roman"/>
          <w:color w:val="000000"/>
          <w:szCs w:val="30"/>
          <w:highlight w:val="none"/>
        </w:rPr>
        <w:t>挂牌、售</w:t>
      </w:r>
      <w:r>
        <w:rPr>
          <w:rFonts w:hint="default" w:ascii="Times New Roman" w:hAnsi="Times New Roman" w:cs="Times New Roman"/>
          <w:color w:val="000000"/>
          <w:szCs w:val="30"/>
          <w:highlight w:val="none"/>
          <w:lang w:eastAsia="zh-CN"/>
        </w:rPr>
        <w:t>（购）</w:t>
      </w:r>
      <w:r>
        <w:rPr>
          <w:rFonts w:hint="default" w:ascii="Times New Roman" w:hAnsi="Times New Roman" w:cs="Times New Roman"/>
          <w:color w:val="000000"/>
          <w:szCs w:val="30"/>
          <w:highlight w:val="none"/>
        </w:rPr>
        <w:t>电主体自主摘牌</w:t>
      </w:r>
      <w:r>
        <w:rPr>
          <w:rFonts w:hint="default" w:ascii="Times New Roman" w:hAnsi="Times New Roman" w:cs="Times New Roman"/>
          <w:color w:val="000000"/>
          <w:szCs w:val="30"/>
          <w:highlight w:val="none"/>
          <w:lang w:eastAsia="zh-CN"/>
        </w:rPr>
        <w:t>申报结果组织统一出清，也可由交易系统根据购售电主体挂牌价格滚动撮合出清。具体在交易公告中明确。</w:t>
      </w:r>
    </w:p>
    <w:p>
      <w:pPr>
        <w:numPr>
          <w:ilvl w:val="0"/>
          <w:numId w:val="21"/>
        </w:numPr>
        <w:overflowPunct w:val="0"/>
        <w:snapToGrid w:val="0"/>
        <w:spacing w:line="560" w:lineRule="exact"/>
        <w:ind w:left="300" w:leftChars="100" w:firstLine="605" w:firstLineChars="201"/>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交易申报：</w:t>
      </w:r>
    </w:p>
    <w:p>
      <w:pPr>
        <w:numPr>
          <w:ilvl w:val="0"/>
          <w:numId w:val="0"/>
        </w:numPr>
        <w:overflowPunct w:val="0"/>
        <w:snapToGrid w:val="0"/>
        <w:spacing w:line="560" w:lineRule="exact"/>
        <w:ind w:left="300" w:leftChars="100" w:firstLine="602" w:firstLineChars="201"/>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val="0"/>
          <w:bCs w:val="0"/>
          <w:color w:val="000000"/>
          <w:szCs w:val="30"/>
          <w:highlight w:val="none"/>
          <w:lang w:eastAsia="zh-CN"/>
        </w:rPr>
        <w:t>挂牌的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应自主申报交易电量、价格等挂牌信息，摘牌的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自主申报摘牌电量、价格等信息，交易曲线在交易公告中明确。</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申报电量、申报价格应分别考虑输电损耗、输配电价（含线损）、政府基金及附加后统一折算到约定的交易关口，形成折算后的售电主体和购电主体申报信息。</w:t>
      </w:r>
      <w:r>
        <w:rPr>
          <w:rFonts w:hint="default" w:ascii="Times New Roman" w:hAnsi="Times New Roman" w:cs="Times New Roman"/>
          <w:color w:val="000000"/>
          <w:szCs w:val="30"/>
          <w:highlight w:val="none"/>
          <w:lang w:eastAsia="zh-CN"/>
        </w:rPr>
        <w:t>统一出清方式下，</w:t>
      </w:r>
      <w:r>
        <w:rPr>
          <w:rFonts w:hint="default" w:ascii="Times New Roman" w:hAnsi="Times New Roman" w:cs="Times New Roman"/>
          <w:color w:val="000000"/>
          <w:szCs w:val="30"/>
          <w:highlight w:val="none"/>
        </w:rPr>
        <w:t>当存在多个挂牌方时，某一摘牌方可分别向各挂牌方自主申报摘牌电量。该摘牌方总申报摘牌电量不能超过自身发用电能力约束。</w:t>
      </w:r>
    </w:p>
    <w:p>
      <w:pPr>
        <w:numPr>
          <w:ilvl w:val="0"/>
          <w:numId w:val="21"/>
        </w:numPr>
        <w:overflowPunct w:val="0"/>
        <w:snapToGrid w:val="0"/>
        <w:spacing w:line="560" w:lineRule="exact"/>
        <w:ind w:left="300" w:leftChars="100" w:firstLine="605" w:firstLineChars="201"/>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交易出清：</w:t>
      </w:r>
    </w:p>
    <w:p>
      <w:pPr>
        <w:numPr>
          <w:ilvl w:val="0"/>
          <w:numId w:val="0"/>
        </w:numPr>
        <w:overflowPunct w:val="0"/>
        <w:snapToGrid w:val="0"/>
        <w:spacing w:line="560" w:lineRule="exact"/>
        <w:ind w:left="300" w:leftChars="100" w:firstLine="602" w:firstLineChars="201"/>
        <w:rPr>
          <w:rFonts w:hint="default" w:ascii="Times New Roman" w:hAnsi="Times New Roman" w:eastAsia="仿宋_GB2312" w:cs="Times New Roman"/>
          <w:color w:val="000000"/>
          <w:szCs w:val="30"/>
          <w:highlight w:val="none"/>
          <w:lang w:val="en-US" w:eastAsia="zh-CN"/>
        </w:rPr>
      </w:pPr>
      <w:r>
        <w:rPr>
          <w:rFonts w:hint="default" w:ascii="Times New Roman" w:hAnsi="Times New Roman" w:cs="Times New Roman"/>
          <w:color w:val="000000"/>
          <w:szCs w:val="30"/>
          <w:highlight w:val="none"/>
          <w:lang w:val="en-US" w:eastAsia="zh-CN"/>
        </w:rPr>
        <w:t>挂牌交易可以采用统一出清和滚动撮合两种出清方式。</w:t>
      </w:r>
    </w:p>
    <w:p>
      <w:pPr>
        <w:numPr>
          <w:ilvl w:val="0"/>
          <w:numId w:val="22"/>
        </w:numPr>
        <w:overflowPunct w:val="0"/>
        <w:snapToGrid w:val="0"/>
        <w:spacing w:line="560" w:lineRule="exact"/>
        <w:ind w:left="300" w:leftChars="100" w:firstLine="602" w:firstLineChars="201"/>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统一出清</w:t>
      </w:r>
    </w:p>
    <w:p>
      <w:pPr>
        <w:numPr>
          <w:ilvl w:val="0"/>
          <w:numId w:val="0"/>
        </w:numPr>
        <w:overflowPunct w:val="0"/>
        <w:snapToGrid w:val="0"/>
        <w:spacing w:line="560" w:lineRule="exact"/>
        <w:ind w:left="300" w:leftChars="100" w:firstLine="602" w:firstLineChars="201"/>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广州电力交易中心汇总交易期间</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挂牌及摘牌结果，统一进行出清。</w:t>
      </w:r>
    </w:p>
    <w:p>
      <w:pPr>
        <w:numPr>
          <w:ilvl w:val="0"/>
          <w:numId w:val="0"/>
        </w:numPr>
        <w:overflowPunct w:val="0"/>
        <w:snapToGrid w:val="0"/>
        <w:spacing w:line="560" w:lineRule="exact"/>
        <w:ind w:left="300" w:leftChars="100" w:firstLine="605" w:firstLineChars="201"/>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rPr>
        <w:t>当某一挂牌方的总摘牌电量大于其挂牌电量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时，按</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摘牌</w:t>
      </w:r>
      <w:r>
        <w:rPr>
          <w:rFonts w:hint="default" w:ascii="Times New Roman" w:hAnsi="Times New Roman" w:cs="Times New Roman"/>
          <w:color w:val="000000"/>
          <w:szCs w:val="30"/>
          <w:highlight w:val="none"/>
        </w:rPr>
        <w:t>电量所占比例等</w:t>
      </w:r>
      <w:r>
        <w:rPr>
          <w:rFonts w:hint="default" w:ascii="Times New Roman" w:hAnsi="Times New Roman" w:cs="Times New Roman"/>
          <w:color w:val="000000"/>
          <w:szCs w:val="30"/>
          <w:highlight w:val="none"/>
          <w:lang w:eastAsia="zh-CN"/>
        </w:rPr>
        <w:t>比例调减</w:t>
      </w:r>
      <w:r>
        <w:rPr>
          <w:rFonts w:hint="default" w:ascii="Times New Roman" w:hAnsi="Times New Roman" w:cs="Times New Roman"/>
          <w:color w:val="000000"/>
          <w:szCs w:val="30"/>
          <w:highlight w:val="none"/>
        </w:rPr>
        <w:t>；当总摘牌电量小于或等于挂牌电量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经安全校核后</w:t>
      </w:r>
      <w:r>
        <w:rPr>
          <w:rFonts w:hint="default" w:ascii="Times New Roman" w:hAnsi="Times New Roman" w:cs="Times New Roman"/>
          <w:color w:val="000000"/>
          <w:szCs w:val="30"/>
          <w:highlight w:val="none"/>
        </w:rPr>
        <w:t>摘牌电量即为成交电量。</w:t>
      </w:r>
    </w:p>
    <w:p>
      <w:pPr>
        <w:numPr>
          <w:ilvl w:val="0"/>
          <w:numId w:val="0"/>
        </w:numPr>
        <w:overflowPunct w:val="0"/>
        <w:snapToGrid w:val="0"/>
        <w:spacing w:line="560" w:lineRule="exact"/>
        <w:ind w:left="300" w:leftChars="100" w:firstLine="605" w:firstLineChars="201"/>
        <w:rPr>
          <w:rFonts w:hint="default" w:ascii="Times New Roman" w:hAnsi="Times New Roman" w:eastAsia="仿宋_GB2312" w:cs="Times New Roman"/>
          <w:color w:val="000000"/>
          <w:szCs w:val="30"/>
          <w:highlight w:val="none"/>
          <w:lang w:eastAsia="zh-CN"/>
        </w:rPr>
      </w:pPr>
      <w:r>
        <w:rPr>
          <w:rFonts w:hint="default" w:ascii="Times New Roman" w:hAnsi="Times New Roman" w:cs="Times New Roman"/>
          <w:b/>
          <w:bCs/>
          <w:color w:val="000000"/>
          <w:szCs w:val="30"/>
          <w:highlight w:val="none"/>
          <w:lang w:eastAsia="zh-CN"/>
        </w:rPr>
        <w:t>成交价格</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挂牌价格即为成交价格</w:t>
      </w:r>
      <w:r>
        <w:rPr>
          <w:rFonts w:hint="default" w:ascii="Times New Roman" w:hAnsi="Times New Roman" w:cs="Times New Roman"/>
          <w:color w:val="000000"/>
          <w:szCs w:val="30"/>
          <w:highlight w:val="none"/>
          <w:lang w:eastAsia="zh-CN"/>
        </w:rPr>
        <w:t>。</w:t>
      </w:r>
    </w:p>
    <w:p>
      <w:pPr>
        <w:numPr>
          <w:ilvl w:val="0"/>
          <w:numId w:val="22"/>
        </w:numPr>
        <w:overflowPunct w:val="0"/>
        <w:snapToGrid w:val="0"/>
        <w:spacing w:line="560" w:lineRule="exact"/>
        <w:ind w:left="300" w:leftChars="100" w:firstLine="602" w:firstLineChars="201"/>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滚动撮合出清</w:t>
      </w:r>
    </w:p>
    <w:p>
      <w:pPr>
        <w:tabs>
          <w:tab w:val="left" w:pos="604"/>
          <w:tab w:val="left" w:pos="1429"/>
        </w:tabs>
        <w:overflowPunct w:val="0"/>
        <w:snapToGrid w:val="0"/>
        <w:spacing w:line="560" w:lineRule="exact"/>
        <w:ind w:left="300" w:leftChars="100" w:firstLine="602" w:firstLineChars="201"/>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实时建立</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购电主体</w:t>
      </w:r>
      <w:r>
        <w:rPr>
          <w:rFonts w:hint="default" w:ascii="Times New Roman" w:hAnsi="Times New Roman" w:cs="Times New Roman"/>
          <w:color w:val="000000"/>
          <w:szCs w:val="30"/>
          <w:highlight w:val="none"/>
        </w:rPr>
        <w:t>挂牌两个队列，将</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挂牌电量按挂牌价从高到低排列，将</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挂牌电量按挂牌价从低到高排列，价格相同时按申报时间较早者优先排列。交易系统接收到</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rPr>
        <w:t>提交的新增挂牌时，则实时动态刷新队列。交易系统按照价格优先、时间优先的原则，自动撮合</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挂牌价高于或等于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挂牌价的电量成交：较高的</w:t>
      </w:r>
      <w:r>
        <w:rPr>
          <w:rFonts w:hint="default" w:ascii="Times New Roman" w:hAnsi="Times New Roman" w:cs="Times New Roman"/>
          <w:color w:val="000000"/>
          <w:szCs w:val="30"/>
          <w:highlight w:val="none"/>
          <w:lang w:eastAsia="zh-CN"/>
        </w:rPr>
        <w:t>购电挂牌</w:t>
      </w:r>
      <w:r>
        <w:rPr>
          <w:rFonts w:hint="default" w:ascii="Times New Roman" w:hAnsi="Times New Roman" w:cs="Times New Roman"/>
          <w:color w:val="000000"/>
          <w:szCs w:val="30"/>
          <w:highlight w:val="none"/>
        </w:rPr>
        <w:t>价优先成交，</w:t>
      </w:r>
      <w:r>
        <w:rPr>
          <w:rFonts w:hint="default" w:ascii="Times New Roman" w:hAnsi="Times New Roman" w:cs="Times New Roman"/>
          <w:color w:val="000000"/>
          <w:szCs w:val="30"/>
          <w:highlight w:val="none"/>
          <w:lang w:eastAsia="zh-CN"/>
        </w:rPr>
        <w:t>较低的售电挂牌价</w:t>
      </w:r>
      <w:r>
        <w:rPr>
          <w:rFonts w:hint="default" w:ascii="Times New Roman" w:hAnsi="Times New Roman" w:cs="Times New Roman"/>
          <w:color w:val="000000"/>
          <w:szCs w:val="30"/>
          <w:highlight w:val="none"/>
        </w:rPr>
        <w:t>优先成交；买卖方向相同、价格相同时，先挂牌者优先成交。</w:t>
      </w:r>
      <w:r>
        <w:rPr>
          <w:rFonts w:hint="default" w:ascii="Times New Roman" w:hAnsi="Times New Roman" w:cs="Times New Roman"/>
          <w:color w:val="000000"/>
          <w:szCs w:val="30"/>
          <w:highlight w:val="none"/>
          <w:lang w:val="en-US" w:eastAsia="zh-CN"/>
        </w:rPr>
        <w:t>当</w:t>
      </w:r>
      <w:r>
        <w:rPr>
          <w:rFonts w:hint="default" w:ascii="Times New Roman" w:hAnsi="Times New Roman" w:cs="Times New Roman"/>
          <w:color w:val="000000"/>
          <w:szCs w:val="30"/>
          <w:highlight w:val="none"/>
          <w:lang w:eastAsia="zh-CN"/>
        </w:rPr>
        <w:t>实时撮合出清</w:t>
      </w:r>
      <w:r>
        <w:rPr>
          <w:rFonts w:hint="default" w:ascii="Times New Roman" w:hAnsi="Times New Roman" w:cs="Times New Roman"/>
          <w:color w:val="000000"/>
          <w:szCs w:val="30"/>
          <w:highlight w:val="none"/>
          <w:lang w:val="en-US" w:eastAsia="zh-CN"/>
        </w:rPr>
        <w:t>的电量达到</w:t>
      </w:r>
      <w:r>
        <w:rPr>
          <w:rFonts w:hint="default" w:ascii="Times New Roman" w:hAnsi="Times New Roman" w:cs="Times New Roman"/>
          <w:color w:val="000000"/>
          <w:szCs w:val="30"/>
          <w:highlight w:val="none"/>
        </w:rPr>
        <w:t>交易规模</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，挂牌交易自动结束，最后一笔</w:t>
      </w:r>
      <w:r>
        <w:rPr>
          <w:rFonts w:hint="default" w:ascii="Times New Roman" w:hAnsi="Times New Roman" w:cs="Times New Roman"/>
          <w:color w:val="000000"/>
          <w:szCs w:val="30"/>
          <w:highlight w:val="none"/>
          <w:lang w:val="en-US" w:eastAsia="zh-CN"/>
        </w:rPr>
        <w:t>成交</w:t>
      </w:r>
      <w:r>
        <w:rPr>
          <w:rFonts w:hint="default" w:ascii="Times New Roman" w:hAnsi="Times New Roman" w:cs="Times New Roman"/>
          <w:color w:val="000000"/>
          <w:szCs w:val="30"/>
          <w:highlight w:val="none"/>
          <w:lang w:eastAsia="zh-CN"/>
        </w:rPr>
        <w:t>电量由剩余可交易规模确定</w:t>
      </w:r>
      <w:r>
        <w:rPr>
          <w:rFonts w:hint="default" w:ascii="Times New Roman" w:hAnsi="Times New Roman" w:cs="Times New Roman"/>
          <w:color w:val="000000"/>
          <w:szCs w:val="30"/>
          <w:highlight w:val="none"/>
        </w:rPr>
        <w:t>。</w:t>
      </w:r>
    </w:p>
    <w:p>
      <w:pPr>
        <w:tabs>
          <w:tab w:val="left" w:pos="604"/>
          <w:tab w:val="left" w:pos="1429"/>
        </w:tabs>
        <w:overflowPunct w:val="0"/>
        <w:snapToGrid w:val="0"/>
        <w:spacing w:line="560" w:lineRule="exact"/>
        <w:ind w:left="300" w:leftChars="100" w:firstLine="605" w:firstLineChars="201"/>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lang w:eastAsia="zh-CN"/>
        </w:rPr>
        <w:t>：系统撮合成交的每一对购电挂牌电量、售电挂牌电量二者中较小者。</w:t>
      </w:r>
    </w:p>
    <w:p>
      <w:pPr>
        <w:numPr>
          <w:ilvl w:val="0"/>
          <w:numId w:val="0"/>
        </w:numPr>
        <w:tabs>
          <w:tab w:val="left" w:pos="604"/>
          <w:tab w:val="left" w:pos="1429"/>
        </w:tabs>
        <w:overflowPunct w:val="0"/>
        <w:snapToGrid w:val="0"/>
        <w:spacing w:line="560" w:lineRule="exact"/>
        <w:ind w:left="300" w:leftChars="100" w:firstLine="605" w:firstLineChars="201"/>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eastAsia="zh-CN"/>
        </w:rPr>
        <w:t>成交电价</w:t>
      </w:r>
      <w:r>
        <w:rPr>
          <w:rFonts w:hint="default" w:ascii="Times New Roman" w:hAnsi="Times New Roman" w:cs="Times New Roman"/>
          <w:b w:val="0"/>
          <w:bCs w:val="0"/>
          <w:color w:val="000000"/>
          <w:szCs w:val="30"/>
          <w:highlight w:val="none"/>
          <w:lang w:eastAsia="zh-CN"/>
        </w:rPr>
        <w:t>：</w:t>
      </w:r>
      <w:r>
        <w:rPr>
          <w:rFonts w:hint="default" w:ascii="Times New Roman" w:hAnsi="Times New Roman" w:cs="Times New Roman"/>
          <w:color w:val="000000"/>
          <w:szCs w:val="30"/>
          <w:highlight w:val="none"/>
        </w:rPr>
        <w:t>当最高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挂牌价与最低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挂牌价相同时，以该价格为成交价。当</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挂牌价高于实时的最低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挂牌价时，取实时发布的最低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挂牌价为其成交价。当</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挂牌价低于实时的最高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挂牌价时，取实时发布的最高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挂牌价为其成交价。</w:t>
      </w:r>
    </w:p>
    <w:p>
      <w:pPr>
        <w:numPr>
          <w:ilvl w:val="0"/>
          <w:numId w:val="0"/>
        </w:numPr>
        <w:overflowPunct w:val="0"/>
        <w:snapToGrid w:val="0"/>
        <w:spacing w:line="560" w:lineRule="exact"/>
        <w:ind w:left="300" w:leftChars="100" w:firstLine="602" w:firstLineChars="201"/>
        <w:rPr>
          <w:rFonts w:hint="default" w:ascii="Times New Roman" w:hAnsi="Times New Roman" w:eastAsia="仿宋_GB2312" w:cs="Times New Roman"/>
          <w:b/>
          <w:bCs/>
          <w:color w:val="000000"/>
          <w:szCs w:val="30"/>
          <w:highlight w:val="none"/>
          <w:lang w:val="en-US" w:eastAsia="zh-CN"/>
        </w:rPr>
      </w:pPr>
      <w:r>
        <w:rPr>
          <w:rFonts w:hint="default" w:ascii="Times New Roman" w:hAnsi="Times New Roman" w:cs="Times New Roman"/>
          <w:b w:val="0"/>
          <w:bCs w:val="0"/>
          <w:color w:val="000000"/>
          <w:szCs w:val="30"/>
          <w:highlight w:val="none"/>
          <w:lang w:eastAsia="zh-CN"/>
        </w:rPr>
        <w:t>交易关口侧的成交电量、价格应分别考虑输电损耗、输配电价（含线损）、政府基金及附加后折算到购电侧和售电侧，作为售电主体和购电主体成交电量和价格。</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70" w:name="_Toc30943"/>
      <w:bookmarkStart w:id="71" w:name="_Toc88663450"/>
      <w:r>
        <w:rPr>
          <w:rFonts w:hint="default" w:ascii="Times New Roman" w:hAnsi="Times New Roman" w:eastAsia="黑体" w:cs="Times New Roman"/>
          <w:szCs w:val="30"/>
          <w:highlight w:val="none"/>
        </w:rPr>
        <w:t>年度/月度</w:t>
      </w:r>
      <w:r>
        <w:rPr>
          <w:rFonts w:hint="default" w:ascii="Times New Roman" w:hAnsi="Times New Roman" w:eastAsia="黑体" w:cs="Times New Roman"/>
          <w:szCs w:val="30"/>
          <w:highlight w:val="none"/>
          <w:lang w:val="en-US" w:eastAsia="zh-CN"/>
        </w:rPr>
        <w:t>/周</w:t>
      </w:r>
      <w:r>
        <w:rPr>
          <w:rFonts w:hint="default" w:ascii="Times New Roman" w:hAnsi="Times New Roman" w:eastAsia="黑体" w:cs="Times New Roman"/>
          <w:szCs w:val="30"/>
          <w:highlight w:val="none"/>
        </w:rPr>
        <w:t>增量电量直接交易（协商）</w:t>
      </w:r>
      <w:bookmarkEnd w:id="70"/>
      <w:bookmarkEnd w:id="71"/>
    </w:p>
    <w:p>
      <w:pPr>
        <w:pageBreakBefore w:val="0"/>
        <w:widowControl w:val="0"/>
        <w:numPr>
          <w:ilvl w:val="0"/>
          <w:numId w:val="2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增量电量。</w:t>
      </w:r>
    </w:p>
    <w:p>
      <w:pPr>
        <w:pageBreakBefore w:val="0"/>
        <w:widowControl w:val="0"/>
        <w:numPr>
          <w:ilvl w:val="0"/>
          <w:numId w:val="2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直接交易。</w:t>
      </w:r>
    </w:p>
    <w:p>
      <w:pPr>
        <w:pageBreakBefore w:val="0"/>
        <w:widowControl w:val="0"/>
        <w:numPr>
          <w:ilvl w:val="0"/>
          <w:numId w:val="2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受电省区电力用户、售电公司、储能企业</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超高压公司、送受端电网</w:t>
      </w:r>
    </w:p>
    <w:p>
      <w:pPr>
        <w:pageBreakBefore w:val="0"/>
        <w:widowControl w:val="0"/>
        <w:numPr>
          <w:ilvl w:val="0"/>
          <w:numId w:val="2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2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协商交易：售电主体申报，购电主体确认</w:t>
      </w:r>
    </w:p>
    <w:p>
      <w:pPr>
        <w:pageBreakBefore w:val="0"/>
        <w:widowControl w:val="0"/>
        <w:numPr>
          <w:ilvl w:val="0"/>
          <w:numId w:val="2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申报电量、价格为申报关口的电量和价格，其中申报关口分三类：一是送电省区发电企业与所在省区电网企业之间的计量关口；二是点对网送电电厂与超高压公司之间的计量关口；三是送电省区电网企业与超高压公司之间的计量关口。申报电量、价格按照省间、送电省内核定线损、输电费和线损电费分别折算至交易关口，作为售电申报折算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2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相关</w:t>
      </w:r>
      <w:r>
        <w:rPr>
          <w:rFonts w:hint="eastAsia" w:cs="Times New Roman"/>
          <w:szCs w:val="30"/>
          <w:highlight w:val="none"/>
          <w:lang w:eastAsia="zh-CN"/>
        </w:rPr>
        <w:t>经营主体</w:t>
      </w:r>
      <w:r>
        <w:rPr>
          <w:rFonts w:hint="default" w:ascii="Times New Roman" w:hAnsi="Times New Roman" w:cs="Times New Roman"/>
          <w:szCs w:val="30"/>
          <w:highlight w:val="none"/>
        </w:rPr>
        <w:t>协商一致后，在广州电力交易中心，由售电主体申报，购电主体确认增送电量。广州电力交易中心进行交易出清。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售电主体总申报折算电量未超过交易规模时，申报折算电量即为成交电量。若售电主体总申报折算电量超过交易规模时，按申报折算电量比例成交。</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售电主体申报折算价格即为成交价格。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售电主体成交电量和价格：</w:t>
      </w:r>
      <w:r>
        <w:rPr>
          <w:rFonts w:hint="default" w:ascii="Times New Roman" w:hAnsi="Times New Roman" w:cs="Times New Roman"/>
          <w:szCs w:val="30"/>
          <w:highlight w:val="none"/>
        </w:rPr>
        <w:t>售电主体成交电量、价格分别由成交电量、价格按照省间、送电省内核定线损、输电费和线损电费折算至售电主体申报关口。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购电主体成交电量和价格：</w:t>
      </w:r>
      <w:r>
        <w:rPr>
          <w:rFonts w:hint="default" w:ascii="Times New Roman" w:hAnsi="Times New Roman" w:cs="Times New Roman"/>
          <w:szCs w:val="30"/>
          <w:highlight w:val="none"/>
        </w:rPr>
        <w:t>购电主体成交电量、价格即为成交电量、价格。</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72" w:name="_Toc88663451"/>
      <w:bookmarkStart w:id="73" w:name="_Toc4597"/>
      <w:r>
        <w:rPr>
          <w:rFonts w:hint="default" w:ascii="Times New Roman" w:hAnsi="Times New Roman" w:eastAsia="黑体" w:cs="Times New Roman"/>
          <w:szCs w:val="30"/>
          <w:highlight w:val="none"/>
        </w:rPr>
        <w:t>年度/月度</w:t>
      </w:r>
      <w:r>
        <w:rPr>
          <w:rFonts w:hint="default" w:ascii="Times New Roman" w:hAnsi="Times New Roman" w:eastAsia="黑体" w:cs="Times New Roman"/>
          <w:szCs w:val="30"/>
          <w:highlight w:val="none"/>
          <w:lang w:val="en-US" w:eastAsia="zh-CN"/>
        </w:rPr>
        <w:t>/周</w:t>
      </w:r>
      <w:r>
        <w:rPr>
          <w:rFonts w:hint="default" w:ascii="Times New Roman" w:hAnsi="Times New Roman" w:eastAsia="黑体" w:cs="Times New Roman"/>
          <w:szCs w:val="30"/>
          <w:highlight w:val="none"/>
        </w:rPr>
        <w:t>增量电量直接交易（竞价）</w:t>
      </w:r>
      <w:bookmarkEnd w:id="72"/>
      <w:bookmarkEnd w:id="73"/>
    </w:p>
    <w:p>
      <w:pPr>
        <w:pageBreakBefore w:val="0"/>
        <w:widowControl w:val="0"/>
        <w:numPr>
          <w:ilvl w:val="0"/>
          <w:numId w:val="2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增量电量。</w:t>
      </w:r>
    </w:p>
    <w:p>
      <w:pPr>
        <w:pageBreakBefore w:val="0"/>
        <w:widowControl w:val="0"/>
        <w:numPr>
          <w:ilvl w:val="0"/>
          <w:numId w:val="2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直接交易。</w:t>
      </w:r>
    </w:p>
    <w:p>
      <w:pPr>
        <w:pageBreakBefore w:val="0"/>
        <w:widowControl w:val="0"/>
        <w:numPr>
          <w:ilvl w:val="0"/>
          <w:numId w:val="2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受电省区电力用户、售电公司、储能企业</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超高压公司、送受端电网</w:t>
      </w:r>
    </w:p>
    <w:p>
      <w:pPr>
        <w:pageBreakBefore w:val="0"/>
        <w:widowControl w:val="0"/>
        <w:numPr>
          <w:ilvl w:val="0"/>
          <w:numId w:val="2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2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竞价交易：统一边际出清</w:t>
      </w:r>
    </w:p>
    <w:p>
      <w:pPr>
        <w:pageBreakBefore w:val="0"/>
        <w:widowControl w:val="0"/>
        <w:numPr>
          <w:ilvl w:val="0"/>
          <w:numId w:val="2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申报电量、价格为申报关口的电量和价格，其中申报关口分三类：一是送电省区发电企业与所在省区电网企业之间的计量关口；二是点对网送电电厂与超高压公司之间的计量关口；三是送电省区电网企业与超高压公司之间的计量关口。申报电量、价格按照省间、送电省内核定线损、输电费和线损电费分别折算至交易关口，作为售电申报折算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2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当购电折算价格大于售电折算价格时可成交。按照购电折算价格减去售电折算价格的价差大小依次成交。</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当总可成交规模超过交易规模时，或购电折算价格减去售电折算价格的价差为负时，交易结束。</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成交电量为售电折算电量与购电折算电量的较小值。成交价格为购电折算价格与售电折算价格的平均值。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售电主体成交电量和价格：</w:t>
      </w:r>
      <w:r>
        <w:rPr>
          <w:rFonts w:hint="default" w:ascii="Times New Roman" w:hAnsi="Times New Roman" w:cs="Times New Roman"/>
          <w:szCs w:val="30"/>
          <w:highlight w:val="none"/>
        </w:rPr>
        <w:t>售电主体成交电量、价格分别由成交电量、价格按照省间、送电省内核定线损、输电费和线损电费折算至售电主体申报关口。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购电主体成交电量和价格：</w:t>
      </w:r>
      <w:r>
        <w:rPr>
          <w:rFonts w:hint="default" w:ascii="Times New Roman" w:hAnsi="Times New Roman" w:cs="Times New Roman"/>
          <w:szCs w:val="30"/>
          <w:highlight w:val="none"/>
        </w:rPr>
        <w:t>购电主体成交电量、价格即为成交电量、价格。</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74" w:name="_Toc88663452"/>
      <w:bookmarkStart w:id="75" w:name="_Toc11106"/>
      <w:r>
        <w:rPr>
          <w:rFonts w:hint="default" w:ascii="Times New Roman" w:hAnsi="Times New Roman" w:eastAsia="黑体" w:cs="Times New Roman"/>
          <w:szCs w:val="30"/>
          <w:highlight w:val="none"/>
        </w:rPr>
        <w:t>年度/月度</w:t>
      </w:r>
      <w:r>
        <w:rPr>
          <w:rFonts w:hint="default" w:ascii="Times New Roman" w:hAnsi="Times New Roman" w:eastAsia="黑体" w:cs="Times New Roman"/>
          <w:szCs w:val="30"/>
          <w:highlight w:val="none"/>
          <w:lang w:val="en-US" w:eastAsia="zh-CN"/>
        </w:rPr>
        <w:t>/周</w:t>
      </w:r>
      <w:r>
        <w:rPr>
          <w:rFonts w:hint="default" w:ascii="Times New Roman" w:hAnsi="Times New Roman" w:eastAsia="黑体" w:cs="Times New Roman"/>
          <w:szCs w:val="30"/>
          <w:highlight w:val="none"/>
        </w:rPr>
        <w:t>增量电量直接交易（挂牌）</w:t>
      </w:r>
      <w:bookmarkEnd w:id="74"/>
      <w:bookmarkEnd w:id="75"/>
    </w:p>
    <w:p>
      <w:pPr>
        <w:pageBreakBefore w:val="0"/>
        <w:widowControl w:val="0"/>
        <w:numPr>
          <w:ilvl w:val="0"/>
          <w:numId w:val="25"/>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增量电量。</w:t>
      </w:r>
    </w:p>
    <w:p>
      <w:pPr>
        <w:pageBreakBefore w:val="0"/>
        <w:widowControl w:val="0"/>
        <w:numPr>
          <w:ilvl w:val="0"/>
          <w:numId w:val="25"/>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直接交易。</w:t>
      </w:r>
    </w:p>
    <w:p>
      <w:pPr>
        <w:pageBreakBefore w:val="0"/>
        <w:widowControl w:val="0"/>
        <w:numPr>
          <w:ilvl w:val="0"/>
          <w:numId w:val="25"/>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受电省区电力用户、售电公司、储能企业</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eastAsia="仿宋_GB2312" w:cs="Times New Roman"/>
          <w:b/>
          <w:bCs/>
          <w:szCs w:val="30"/>
          <w:highlight w:val="none"/>
          <w:lang w:eastAsia="zh-CN"/>
        </w:rPr>
      </w:pPr>
      <w:r>
        <w:rPr>
          <w:rFonts w:hint="default" w:ascii="Times New Roman" w:hAnsi="Times New Roman" w:cs="Times New Roman"/>
          <w:b/>
          <w:bCs/>
          <w:szCs w:val="30"/>
          <w:highlight w:val="none"/>
        </w:rPr>
        <w:t>输电主体：</w:t>
      </w:r>
      <w:r>
        <w:rPr>
          <w:rFonts w:hint="default" w:ascii="Times New Roman" w:hAnsi="Times New Roman" w:cs="Times New Roman"/>
          <w:b w:val="0"/>
          <w:bCs w:val="0"/>
          <w:szCs w:val="30"/>
          <w:highlight w:val="none"/>
        </w:rPr>
        <w:t>超高压公司，</w:t>
      </w:r>
      <w:r>
        <w:rPr>
          <w:rFonts w:hint="default" w:ascii="Times New Roman" w:hAnsi="Times New Roman" w:cs="Times New Roman"/>
          <w:b w:val="0"/>
          <w:bCs w:val="0"/>
          <w:szCs w:val="30"/>
          <w:highlight w:val="none"/>
          <w:lang w:eastAsia="zh-CN"/>
        </w:rPr>
        <w:t>相关电网公司</w:t>
      </w:r>
    </w:p>
    <w:p>
      <w:pPr>
        <w:pageBreakBefore w:val="0"/>
        <w:widowControl w:val="0"/>
        <w:numPr>
          <w:ilvl w:val="0"/>
          <w:numId w:val="2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交易关口：</w:t>
      </w:r>
      <w:r>
        <w:rPr>
          <w:rFonts w:hint="default" w:ascii="Times New Roman" w:hAnsi="Times New Roman" w:cs="Times New Roman"/>
          <w:b w:val="0"/>
          <w:bCs w:val="0"/>
          <w:color w:val="000000"/>
          <w:szCs w:val="30"/>
          <w:highlight w:val="none"/>
          <w:lang w:eastAsia="zh-CN"/>
        </w:rPr>
        <w:t>原则上为</w:t>
      </w:r>
      <w:r>
        <w:rPr>
          <w:rFonts w:hint="default" w:ascii="Times New Roman" w:hAnsi="Times New Roman" w:cs="Times New Roman"/>
          <w:color w:val="000000"/>
          <w:szCs w:val="30"/>
          <w:highlight w:val="none"/>
        </w:rPr>
        <w:t>受电省区电网企业与超高压公司之间的计量关口</w:t>
      </w:r>
      <w:r>
        <w:rPr>
          <w:rFonts w:hint="default" w:ascii="Times New Roman" w:hAnsi="Times New Roman" w:cs="Times New Roman"/>
          <w:color w:val="000000"/>
          <w:szCs w:val="30"/>
          <w:highlight w:val="none"/>
          <w:lang w:eastAsia="zh-CN"/>
        </w:rPr>
        <w:t>，具体在交易公告中明确</w:t>
      </w:r>
      <w:r>
        <w:rPr>
          <w:rFonts w:hint="default" w:ascii="Times New Roman" w:hAnsi="Times New Roman" w:cs="Times New Roman"/>
          <w:color w:val="000000"/>
          <w:szCs w:val="30"/>
          <w:highlight w:val="none"/>
        </w:rPr>
        <w:t>。</w:t>
      </w:r>
    </w:p>
    <w:p>
      <w:pPr>
        <w:pageBreakBefore w:val="0"/>
        <w:widowControl w:val="0"/>
        <w:numPr>
          <w:ilvl w:val="0"/>
          <w:numId w:val="2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交易方式：</w:t>
      </w:r>
      <w:r>
        <w:rPr>
          <w:rFonts w:hint="default" w:ascii="Times New Roman" w:hAnsi="Times New Roman" w:cs="Times New Roman"/>
          <w:color w:val="000000"/>
          <w:szCs w:val="30"/>
          <w:highlight w:val="none"/>
        </w:rPr>
        <w:t>挂牌交易</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可采用</w:t>
      </w:r>
      <w:r>
        <w:rPr>
          <w:rFonts w:hint="default" w:ascii="Times New Roman" w:hAnsi="Times New Roman" w:cs="Times New Roman"/>
          <w:color w:val="000000"/>
          <w:szCs w:val="30"/>
          <w:highlight w:val="none"/>
          <w:lang w:eastAsia="zh-CN"/>
        </w:rPr>
        <w:t>交易系统根据</w:t>
      </w:r>
      <w:r>
        <w:rPr>
          <w:rFonts w:hint="default" w:ascii="Times New Roman" w:hAnsi="Times New Roman" w:cs="Times New Roman"/>
          <w:color w:val="000000"/>
          <w:szCs w:val="30"/>
          <w:highlight w:val="none"/>
        </w:rPr>
        <w:t>购</w:t>
      </w:r>
      <w:r>
        <w:rPr>
          <w:rFonts w:hint="default" w:ascii="Times New Roman" w:hAnsi="Times New Roman" w:cs="Times New Roman"/>
          <w:color w:val="000000"/>
          <w:szCs w:val="30"/>
          <w:highlight w:val="none"/>
          <w:lang w:eastAsia="zh-CN"/>
        </w:rPr>
        <w:t>（售）</w:t>
      </w:r>
      <w:r>
        <w:rPr>
          <w:rFonts w:hint="default" w:ascii="Times New Roman" w:hAnsi="Times New Roman" w:cs="Times New Roman"/>
          <w:color w:val="000000"/>
          <w:szCs w:val="30"/>
          <w:highlight w:val="none"/>
        </w:rPr>
        <w:t>电主体</w:t>
      </w:r>
      <w:r>
        <w:rPr>
          <w:rFonts w:hint="default" w:ascii="Times New Roman" w:hAnsi="Times New Roman" w:cs="Times New Roman"/>
          <w:color w:val="000000"/>
          <w:szCs w:val="30"/>
          <w:highlight w:val="none"/>
          <w:lang w:eastAsia="zh-CN"/>
        </w:rPr>
        <w:t>自主</w:t>
      </w:r>
      <w:r>
        <w:rPr>
          <w:rFonts w:hint="default" w:ascii="Times New Roman" w:hAnsi="Times New Roman" w:cs="Times New Roman"/>
          <w:color w:val="000000"/>
          <w:szCs w:val="30"/>
          <w:highlight w:val="none"/>
        </w:rPr>
        <w:t>挂牌、售</w:t>
      </w:r>
      <w:r>
        <w:rPr>
          <w:rFonts w:hint="default" w:ascii="Times New Roman" w:hAnsi="Times New Roman" w:cs="Times New Roman"/>
          <w:color w:val="000000"/>
          <w:szCs w:val="30"/>
          <w:highlight w:val="none"/>
          <w:lang w:eastAsia="zh-CN"/>
        </w:rPr>
        <w:t>（购）</w:t>
      </w:r>
      <w:r>
        <w:rPr>
          <w:rFonts w:hint="default" w:ascii="Times New Roman" w:hAnsi="Times New Roman" w:cs="Times New Roman"/>
          <w:color w:val="000000"/>
          <w:szCs w:val="30"/>
          <w:highlight w:val="none"/>
        </w:rPr>
        <w:t>电主体自主摘牌</w:t>
      </w:r>
      <w:r>
        <w:rPr>
          <w:rFonts w:hint="default" w:ascii="Times New Roman" w:hAnsi="Times New Roman" w:cs="Times New Roman"/>
          <w:color w:val="000000"/>
          <w:szCs w:val="30"/>
          <w:highlight w:val="none"/>
          <w:lang w:eastAsia="zh-CN"/>
        </w:rPr>
        <w:t>申报结果组织统一出清，也可由交易系统根据购售电主体挂牌价格滚动撮合出清。具体在交易公告中明确。</w:t>
      </w:r>
    </w:p>
    <w:p>
      <w:pPr>
        <w:pageBreakBefore w:val="0"/>
        <w:widowControl w:val="0"/>
        <w:numPr>
          <w:ilvl w:val="0"/>
          <w:numId w:val="2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交易申报：</w:t>
      </w:r>
      <w:r>
        <w:rPr>
          <w:rFonts w:hint="default" w:ascii="Times New Roman" w:hAnsi="Times New Roman" w:cs="Times New Roman"/>
          <w:b w:val="0"/>
          <w:bCs w:val="0"/>
          <w:color w:val="000000"/>
          <w:szCs w:val="30"/>
          <w:highlight w:val="none"/>
          <w:lang w:eastAsia="zh-CN"/>
        </w:rPr>
        <w:t>挂牌的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应自主申报交易电量、价格等挂牌信息，摘牌的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自主申报摘牌电量、价格等信息，交易曲线在交易公告中明确。</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申报电量、申报价格应分别考虑输电损耗、输配电价（含线损）、政府基金及附加后统一折算到约定的交易关口，形成折算后的售电主体和购电主体申报信息。</w:t>
      </w:r>
      <w:r>
        <w:rPr>
          <w:rFonts w:hint="default" w:ascii="Times New Roman" w:hAnsi="Times New Roman" w:cs="Times New Roman"/>
          <w:color w:val="000000"/>
          <w:szCs w:val="30"/>
          <w:highlight w:val="none"/>
          <w:lang w:eastAsia="zh-CN"/>
        </w:rPr>
        <w:t>统一出清方式下，</w:t>
      </w:r>
      <w:r>
        <w:rPr>
          <w:rFonts w:hint="default" w:ascii="Times New Roman" w:hAnsi="Times New Roman" w:cs="Times New Roman"/>
          <w:color w:val="000000"/>
          <w:szCs w:val="30"/>
          <w:highlight w:val="none"/>
        </w:rPr>
        <w:t>当存在多个挂牌方时，某一摘牌方可分别向各挂牌方自主申报摘牌电量。该摘牌方总申报摘牌电量不能超过自身发用电能力约束。</w:t>
      </w:r>
    </w:p>
    <w:p>
      <w:pPr>
        <w:pageBreakBefore w:val="0"/>
        <w:widowControl w:val="0"/>
        <w:numPr>
          <w:ilvl w:val="0"/>
          <w:numId w:val="2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bCs/>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eastAsia="仿宋_GB2312" w:cs="Times New Roman"/>
          <w:color w:val="000000"/>
          <w:szCs w:val="30"/>
          <w:highlight w:val="none"/>
          <w:lang w:val="en-US" w:eastAsia="zh-CN"/>
        </w:rPr>
      </w:pPr>
      <w:r>
        <w:rPr>
          <w:rFonts w:hint="default" w:ascii="Times New Roman" w:hAnsi="Times New Roman" w:cs="Times New Roman"/>
          <w:color w:val="000000"/>
          <w:szCs w:val="30"/>
          <w:highlight w:val="none"/>
          <w:lang w:val="en-US" w:eastAsia="zh-CN"/>
        </w:rPr>
        <w:t>挂牌交易可以采用统一出清和滚动撮合两种出清方式。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1</w:t>
      </w:r>
      <w:r>
        <w:rPr>
          <w:rFonts w:hint="default" w:ascii="Times New Roman" w:hAnsi="Times New Roman" w:cs="Times New Roman"/>
          <w:color w:val="000000"/>
          <w:szCs w:val="30"/>
          <w:highlight w:val="none"/>
          <w:lang w:eastAsia="zh-CN"/>
        </w:rPr>
        <w:t>）统一出清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广州电力交易中心汇总交易期间</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挂牌及摘牌结果，统一进行出清。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rPr>
        <w:t>当某一挂牌方的总摘牌电量大于其挂牌电量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时，按</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摘牌</w:t>
      </w:r>
      <w:r>
        <w:rPr>
          <w:rFonts w:hint="default" w:ascii="Times New Roman" w:hAnsi="Times New Roman" w:cs="Times New Roman"/>
          <w:color w:val="000000"/>
          <w:szCs w:val="30"/>
          <w:highlight w:val="none"/>
        </w:rPr>
        <w:t>电量所占比例等</w:t>
      </w:r>
      <w:r>
        <w:rPr>
          <w:rFonts w:hint="default" w:ascii="Times New Roman" w:hAnsi="Times New Roman" w:cs="Times New Roman"/>
          <w:color w:val="000000"/>
          <w:szCs w:val="30"/>
          <w:highlight w:val="none"/>
          <w:lang w:eastAsia="zh-CN"/>
        </w:rPr>
        <w:t>比例调减</w:t>
      </w:r>
      <w:r>
        <w:rPr>
          <w:rFonts w:hint="default" w:ascii="Times New Roman" w:hAnsi="Times New Roman" w:cs="Times New Roman"/>
          <w:color w:val="000000"/>
          <w:szCs w:val="30"/>
          <w:highlight w:val="none"/>
        </w:rPr>
        <w:t>；当总摘牌电量小于或等于挂牌电量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经安全校核后</w:t>
      </w:r>
      <w:r>
        <w:rPr>
          <w:rFonts w:hint="default" w:ascii="Times New Roman" w:hAnsi="Times New Roman" w:cs="Times New Roman"/>
          <w:color w:val="000000"/>
          <w:szCs w:val="30"/>
          <w:highlight w:val="none"/>
        </w:rPr>
        <w:t>摘牌电量即为成交电量。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eastAsia="仿宋_GB2312" w:cs="Times New Roman"/>
          <w:color w:val="000000"/>
          <w:szCs w:val="30"/>
          <w:highlight w:val="none"/>
          <w:lang w:eastAsia="zh-CN"/>
        </w:rPr>
      </w:pPr>
      <w:r>
        <w:rPr>
          <w:rFonts w:hint="default" w:ascii="Times New Roman" w:hAnsi="Times New Roman" w:cs="Times New Roman"/>
          <w:b/>
          <w:bCs/>
          <w:color w:val="000000"/>
          <w:szCs w:val="30"/>
          <w:highlight w:val="none"/>
          <w:lang w:eastAsia="zh-CN"/>
        </w:rPr>
        <w:t>成交价格</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挂牌价格即为成交价格</w:t>
      </w:r>
      <w:r>
        <w:rPr>
          <w:rFonts w:hint="default" w:ascii="Times New Roman" w:hAnsi="Times New Roman" w:cs="Times New Roman"/>
          <w:color w:val="000000"/>
          <w:szCs w:val="30"/>
          <w:highlight w:val="none"/>
          <w:lang w:eastAsia="zh-CN"/>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2</w:t>
      </w:r>
      <w:r>
        <w:rPr>
          <w:rFonts w:hint="default" w:ascii="Times New Roman" w:hAnsi="Times New Roman" w:cs="Times New Roman"/>
          <w:color w:val="000000"/>
          <w:szCs w:val="30"/>
          <w:highlight w:val="none"/>
          <w:lang w:eastAsia="zh-CN"/>
        </w:rPr>
        <w:t>）滚动撮合出清</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实时建立</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购电主体</w:t>
      </w:r>
      <w:r>
        <w:rPr>
          <w:rFonts w:hint="default" w:ascii="Times New Roman" w:hAnsi="Times New Roman" w:cs="Times New Roman"/>
          <w:color w:val="000000"/>
          <w:szCs w:val="30"/>
          <w:highlight w:val="none"/>
        </w:rPr>
        <w:t>挂牌两个队列，将</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挂牌电量按挂牌价从高到低排列，将</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挂牌电量按挂牌价从低到高排列，价格相同时按申报时间较早者优先排列。交易系统接收到</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rPr>
        <w:t>提交的新增挂牌时，则实时动态刷新队列。交易系统按照价格优先、时间优先的原则，自动撮合</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挂牌价高于或等于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挂牌价的电量成交：较高的</w:t>
      </w:r>
      <w:r>
        <w:rPr>
          <w:rFonts w:hint="default" w:ascii="Times New Roman" w:hAnsi="Times New Roman" w:cs="Times New Roman"/>
          <w:color w:val="000000"/>
          <w:szCs w:val="30"/>
          <w:highlight w:val="none"/>
          <w:lang w:eastAsia="zh-CN"/>
        </w:rPr>
        <w:t>购电挂牌</w:t>
      </w:r>
      <w:r>
        <w:rPr>
          <w:rFonts w:hint="default" w:ascii="Times New Roman" w:hAnsi="Times New Roman" w:cs="Times New Roman"/>
          <w:color w:val="000000"/>
          <w:szCs w:val="30"/>
          <w:highlight w:val="none"/>
        </w:rPr>
        <w:t>价优先成交，</w:t>
      </w:r>
      <w:r>
        <w:rPr>
          <w:rFonts w:hint="default" w:ascii="Times New Roman" w:hAnsi="Times New Roman" w:cs="Times New Roman"/>
          <w:color w:val="000000"/>
          <w:szCs w:val="30"/>
          <w:highlight w:val="none"/>
          <w:lang w:eastAsia="zh-CN"/>
        </w:rPr>
        <w:t>较低的售电挂牌价</w:t>
      </w:r>
      <w:r>
        <w:rPr>
          <w:rFonts w:hint="default" w:ascii="Times New Roman" w:hAnsi="Times New Roman" w:cs="Times New Roman"/>
          <w:color w:val="000000"/>
          <w:szCs w:val="30"/>
          <w:highlight w:val="none"/>
        </w:rPr>
        <w:t>优先成交；买卖方向相同、价格相同时，先挂牌者优先成交。</w:t>
      </w:r>
      <w:r>
        <w:rPr>
          <w:rFonts w:hint="default" w:ascii="Times New Roman" w:hAnsi="Times New Roman" w:cs="Times New Roman"/>
          <w:color w:val="000000"/>
          <w:szCs w:val="30"/>
          <w:highlight w:val="none"/>
          <w:lang w:val="en-US" w:eastAsia="zh-CN"/>
        </w:rPr>
        <w:t>当</w:t>
      </w:r>
      <w:r>
        <w:rPr>
          <w:rFonts w:hint="default" w:ascii="Times New Roman" w:hAnsi="Times New Roman" w:cs="Times New Roman"/>
          <w:color w:val="000000"/>
          <w:szCs w:val="30"/>
          <w:highlight w:val="none"/>
          <w:lang w:eastAsia="zh-CN"/>
        </w:rPr>
        <w:t>实时撮合出清</w:t>
      </w:r>
      <w:r>
        <w:rPr>
          <w:rFonts w:hint="default" w:ascii="Times New Roman" w:hAnsi="Times New Roman" w:cs="Times New Roman"/>
          <w:color w:val="000000"/>
          <w:szCs w:val="30"/>
          <w:highlight w:val="none"/>
          <w:lang w:val="en-US" w:eastAsia="zh-CN"/>
        </w:rPr>
        <w:t>的电量达到</w:t>
      </w:r>
      <w:r>
        <w:rPr>
          <w:rFonts w:hint="default" w:ascii="Times New Roman" w:hAnsi="Times New Roman" w:cs="Times New Roman"/>
          <w:color w:val="000000"/>
          <w:szCs w:val="30"/>
          <w:highlight w:val="none"/>
        </w:rPr>
        <w:t>交易规模</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，挂牌交易自动结束，最后一笔</w:t>
      </w:r>
      <w:r>
        <w:rPr>
          <w:rFonts w:hint="default" w:ascii="Times New Roman" w:hAnsi="Times New Roman" w:cs="Times New Roman"/>
          <w:color w:val="000000"/>
          <w:szCs w:val="30"/>
          <w:highlight w:val="none"/>
          <w:lang w:val="en-US" w:eastAsia="zh-CN"/>
        </w:rPr>
        <w:t>成交</w:t>
      </w:r>
      <w:r>
        <w:rPr>
          <w:rFonts w:hint="default" w:ascii="Times New Roman" w:hAnsi="Times New Roman" w:cs="Times New Roman"/>
          <w:color w:val="000000"/>
          <w:szCs w:val="30"/>
          <w:highlight w:val="none"/>
          <w:lang w:eastAsia="zh-CN"/>
        </w:rPr>
        <w:t>电量由剩余可交易规模确定</w:t>
      </w:r>
      <w:r>
        <w:rPr>
          <w:rFonts w:hint="default" w:ascii="Times New Roman" w:hAnsi="Times New Roman" w:cs="Times New Roman"/>
          <w:color w:val="000000"/>
          <w:szCs w:val="30"/>
          <w:highlight w:val="none"/>
        </w:rPr>
        <w:t>。</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lang w:eastAsia="zh-CN"/>
        </w:rPr>
        <w:t>：系统撮合成交的每一对购电挂牌电量、售电挂牌电量二者中较小者。</w:t>
      </w:r>
    </w:p>
    <w:p>
      <w:pPr>
        <w:pageBreakBefore w:val="0"/>
        <w:widowControl w:val="0"/>
        <w:numPr>
          <w:ilvl w:val="0"/>
          <w:numId w:val="0"/>
        </w:numPr>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eastAsia="zh-CN"/>
        </w:rPr>
        <w:t>成交电价</w:t>
      </w:r>
      <w:r>
        <w:rPr>
          <w:rFonts w:hint="default" w:ascii="Times New Roman" w:hAnsi="Times New Roman" w:cs="Times New Roman"/>
          <w:b w:val="0"/>
          <w:bCs w:val="0"/>
          <w:color w:val="000000"/>
          <w:szCs w:val="30"/>
          <w:highlight w:val="none"/>
          <w:lang w:eastAsia="zh-CN"/>
        </w:rPr>
        <w:t>：</w:t>
      </w:r>
      <w:r>
        <w:rPr>
          <w:rFonts w:hint="default" w:ascii="Times New Roman" w:hAnsi="Times New Roman" w:cs="Times New Roman"/>
          <w:color w:val="000000"/>
          <w:szCs w:val="30"/>
          <w:highlight w:val="none"/>
        </w:rPr>
        <w:t>当最高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挂牌价与最低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挂牌价相同时，以该价格为成交价。当</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挂牌价高于实时的最低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挂牌价时，取实时发布的最低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挂牌价为其成交价。当</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挂牌价低于实时的最高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挂牌价时，取实时发布的最高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挂牌价为其成交价。</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eastAsia="仿宋_GB2312" w:cs="Times New Roman"/>
          <w:b/>
          <w:bCs/>
          <w:color w:val="000000"/>
          <w:szCs w:val="30"/>
          <w:highlight w:val="none"/>
          <w:lang w:val="en-US" w:eastAsia="zh-CN"/>
        </w:rPr>
      </w:pPr>
      <w:r>
        <w:rPr>
          <w:rFonts w:hint="default" w:ascii="Times New Roman" w:hAnsi="Times New Roman" w:cs="Times New Roman"/>
          <w:b w:val="0"/>
          <w:bCs w:val="0"/>
          <w:color w:val="000000"/>
          <w:szCs w:val="30"/>
          <w:highlight w:val="none"/>
          <w:lang w:eastAsia="zh-CN"/>
        </w:rPr>
        <w:t>交易关口侧的成交电量、价格应分别考虑输电损耗、输配电价（含线损）、政府基金及附加后折算到购电侧和售电侧，作为售电主体和购电主体成交电量和价格。</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76" w:name="_Toc88663453"/>
      <w:bookmarkStart w:id="77" w:name="_Toc31612"/>
      <w:r>
        <w:rPr>
          <w:rFonts w:hint="default" w:ascii="Times New Roman" w:hAnsi="Times New Roman" w:eastAsia="黑体" w:cs="Times New Roman"/>
          <w:szCs w:val="30"/>
          <w:highlight w:val="none"/>
        </w:rPr>
        <w:t>年度/月度/周增量电量外送交易（挂牌）</w:t>
      </w:r>
      <w:bookmarkEnd w:id="76"/>
      <w:bookmarkEnd w:id="77"/>
    </w:p>
    <w:p>
      <w:pPr>
        <w:pageBreakBefore w:val="0"/>
        <w:widowControl w:val="0"/>
        <w:numPr>
          <w:ilvl w:val="0"/>
          <w:numId w:val="26"/>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增量电量。</w:t>
      </w:r>
    </w:p>
    <w:p>
      <w:pPr>
        <w:pageBreakBefore w:val="0"/>
        <w:widowControl w:val="0"/>
        <w:numPr>
          <w:ilvl w:val="0"/>
          <w:numId w:val="26"/>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外送交易。</w:t>
      </w:r>
    </w:p>
    <w:p>
      <w:pPr>
        <w:pageBreakBefore w:val="0"/>
        <w:widowControl w:val="0"/>
        <w:numPr>
          <w:ilvl w:val="0"/>
          <w:numId w:val="26"/>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售电主体：</w:t>
      </w:r>
      <w:r>
        <w:rPr>
          <w:rFonts w:hint="default" w:ascii="Times New Roman" w:hAnsi="Times New Roman" w:cs="Times New Roman"/>
          <w:szCs w:val="30"/>
          <w:highlight w:val="none"/>
        </w:rPr>
        <w:t>送电省区发电或电网企业，点对网送电电厂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购电主体：</w:t>
      </w:r>
      <w:r>
        <w:rPr>
          <w:rFonts w:hint="default" w:ascii="Times New Roman" w:hAnsi="Times New Roman" w:cs="Times New Roman"/>
          <w:szCs w:val="30"/>
          <w:highlight w:val="none"/>
        </w:rPr>
        <w:t>受电省区电网企业</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eastAsia="仿宋_GB2312" w:cs="Times New Roman"/>
          <w:b/>
          <w:bCs/>
          <w:color w:val="auto"/>
          <w:szCs w:val="30"/>
          <w:highlight w:val="none"/>
          <w:lang w:val="en-US" w:eastAsia="zh-CN"/>
        </w:rPr>
      </w:pPr>
      <w:r>
        <w:rPr>
          <w:rFonts w:hint="default" w:ascii="Times New Roman" w:hAnsi="Times New Roman" w:cs="Times New Roman"/>
          <w:b/>
          <w:bCs/>
          <w:color w:val="auto"/>
          <w:szCs w:val="30"/>
          <w:highlight w:val="none"/>
        </w:rPr>
        <w:t>输电主体：</w:t>
      </w:r>
      <w:r>
        <w:rPr>
          <w:rFonts w:hint="default" w:ascii="Times New Roman" w:hAnsi="Times New Roman" w:cs="Times New Roman"/>
          <w:b w:val="0"/>
          <w:bCs w:val="0"/>
          <w:color w:val="auto"/>
          <w:szCs w:val="30"/>
          <w:highlight w:val="none"/>
        </w:rPr>
        <w:t>超高压公司</w:t>
      </w:r>
      <w:r>
        <w:rPr>
          <w:rFonts w:hint="default" w:ascii="Times New Roman" w:hAnsi="Times New Roman" w:cs="Times New Roman"/>
          <w:b w:val="0"/>
          <w:bCs w:val="0"/>
          <w:color w:val="auto"/>
          <w:szCs w:val="30"/>
          <w:highlight w:val="none"/>
          <w:lang w:eastAsia="zh-CN"/>
        </w:rPr>
        <w:t>、相关</w:t>
      </w:r>
      <w:r>
        <w:rPr>
          <w:rFonts w:hint="default" w:ascii="Times New Roman" w:hAnsi="Times New Roman" w:cs="Times New Roman"/>
          <w:b w:val="0"/>
          <w:bCs w:val="0"/>
          <w:color w:val="auto"/>
          <w:szCs w:val="30"/>
          <w:highlight w:val="none"/>
          <w:lang w:val="en-US" w:eastAsia="zh-CN"/>
        </w:rPr>
        <w:t>电网企业</w:t>
      </w:r>
    </w:p>
    <w:p>
      <w:pPr>
        <w:pageBreakBefore w:val="0"/>
        <w:widowControl w:val="0"/>
        <w:numPr>
          <w:ilvl w:val="0"/>
          <w:numId w:val="26"/>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交易关口：</w:t>
      </w:r>
      <w:r>
        <w:rPr>
          <w:rFonts w:hint="default" w:ascii="Times New Roman" w:hAnsi="Times New Roman" w:cs="Times New Roman"/>
          <w:b w:val="0"/>
          <w:bCs w:val="0"/>
          <w:color w:val="000000"/>
          <w:szCs w:val="30"/>
          <w:highlight w:val="none"/>
          <w:lang w:eastAsia="zh-CN"/>
        </w:rPr>
        <w:t>原则上为</w:t>
      </w:r>
      <w:r>
        <w:rPr>
          <w:rFonts w:hint="default" w:ascii="Times New Roman" w:hAnsi="Times New Roman" w:cs="Times New Roman"/>
          <w:color w:val="000000"/>
          <w:szCs w:val="30"/>
          <w:highlight w:val="none"/>
        </w:rPr>
        <w:t>受电省区电网企业与超高压公司之间的计量关口</w:t>
      </w:r>
      <w:r>
        <w:rPr>
          <w:rFonts w:hint="default" w:ascii="Times New Roman" w:hAnsi="Times New Roman" w:cs="Times New Roman"/>
          <w:color w:val="000000"/>
          <w:szCs w:val="30"/>
          <w:highlight w:val="none"/>
          <w:lang w:eastAsia="zh-CN"/>
        </w:rPr>
        <w:t>，具体在交易公告中明确</w:t>
      </w:r>
      <w:r>
        <w:rPr>
          <w:rFonts w:hint="default" w:ascii="Times New Roman" w:hAnsi="Times New Roman" w:cs="Times New Roman"/>
          <w:color w:val="000000"/>
          <w:szCs w:val="30"/>
          <w:highlight w:val="none"/>
        </w:rPr>
        <w:t>。</w:t>
      </w:r>
    </w:p>
    <w:p>
      <w:pPr>
        <w:pageBreakBefore w:val="0"/>
        <w:widowControl w:val="0"/>
        <w:numPr>
          <w:ilvl w:val="0"/>
          <w:numId w:val="26"/>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交易方式：</w:t>
      </w:r>
      <w:r>
        <w:rPr>
          <w:rFonts w:hint="default" w:ascii="Times New Roman" w:hAnsi="Times New Roman" w:cs="Times New Roman"/>
          <w:color w:val="000000"/>
          <w:szCs w:val="30"/>
          <w:highlight w:val="none"/>
        </w:rPr>
        <w:t>挂牌交易</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可采用</w:t>
      </w:r>
      <w:r>
        <w:rPr>
          <w:rFonts w:hint="default" w:ascii="Times New Roman" w:hAnsi="Times New Roman" w:cs="Times New Roman"/>
          <w:color w:val="000000"/>
          <w:szCs w:val="30"/>
          <w:highlight w:val="none"/>
          <w:lang w:eastAsia="zh-CN"/>
        </w:rPr>
        <w:t>交易系统根据</w:t>
      </w:r>
      <w:r>
        <w:rPr>
          <w:rFonts w:hint="default" w:ascii="Times New Roman" w:hAnsi="Times New Roman" w:cs="Times New Roman"/>
          <w:color w:val="000000"/>
          <w:szCs w:val="30"/>
          <w:highlight w:val="none"/>
        </w:rPr>
        <w:t>购</w:t>
      </w:r>
      <w:r>
        <w:rPr>
          <w:rFonts w:hint="default" w:ascii="Times New Roman" w:hAnsi="Times New Roman" w:cs="Times New Roman"/>
          <w:color w:val="000000"/>
          <w:szCs w:val="30"/>
          <w:highlight w:val="none"/>
          <w:lang w:eastAsia="zh-CN"/>
        </w:rPr>
        <w:t>（售）</w:t>
      </w:r>
      <w:r>
        <w:rPr>
          <w:rFonts w:hint="default" w:ascii="Times New Roman" w:hAnsi="Times New Roman" w:cs="Times New Roman"/>
          <w:color w:val="000000"/>
          <w:szCs w:val="30"/>
          <w:highlight w:val="none"/>
        </w:rPr>
        <w:t>电主体</w:t>
      </w:r>
      <w:r>
        <w:rPr>
          <w:rFonts w:hint="default" w:ascii="Times New Roman" w:hAnsi="Times New Roman" w:cs="Times New Roman"/>
          <w:color w:val="000000"/>
          <w:szCs w:val="30"/>
          <w:highlight w:val="none"/>
          <w:lang w:eastAsia="zh-CN"/>
        </w:rPr>
        <w:t>自主</w:t>
      </w:r>
      <w:r>
        <w:rPr>
          <w:rFonts w:hint="default" w:ascii="Times New Roman" w:hAnsi="Times New Roman" w:cs="Times New Roman"/>
          <w:color w:val="000000"/>
          <w:szCs w:val="30"/>
          <w:highlight w:val="none"/>
        </w:rPr>
        <w:t>挂牌、售</w:t>
      </w:r>
      <w:r>
        <w:rPr>
          <w:rFonts w:hint="default" w:ascii="Times New Roman" w:hAnsi="Times New Roman" w:cs="Times New Roman"/>
          <w:color w:val="000000"/>
          <w:szCs w:val="30"/>
          <w:highlight w:val="none"/>
          <w:lang w:eastAsia="zh-CN"/>
        </w:rPr>
        <w:t>（购）</w:t>
      </w:r>
      <w:r>
        <w:rPr>
          <w:rFonts w:hint="default" w:ascii="Times New Roman" w:hAnsi="Times New Roman" w:cs="Times New Roman"/>
          <w:color w:val="000000"/>
          <w:szCs w:val="30"/>
          <w:highlight w:val="none"/>
        </w:rPr>
        <w:t>电主体自主摘牌</w:t>
      </w:r>
      <w:r>
        <w:rPr>
          <w:rFonts w:hint="default" w:ascii="Times New Roman" w:hAnsi="Times New Roman" w:cs="Times New Roman"/>
          <w:color w:val="000000"/>
          <w:szCs w:val="30"/>
          <w:highlight w:val="none"/>
          <w:lang w:eastAsia="zh-CN"/>
        </w:rPr>
        <w:t>申报结果组织统一出清，也可由交易系统根据购售电主体挂牌价格滚动撮合出清。具体在交易公告中明确。</w:t>
      </w:r>
    </w:p>
    <w:p>
      <w:pPr>
        <w:pageBreakBefore w:val="0"/>
        <w:widowControl w:val="0"/>
        <w:numPr>
          <w:ilvl w:val="0"/>
          <w:numId w:val="26"/>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交易申报</w:t>
      </w:r>
      <w:r>
        <w:rPr>
          <w:rFonts w:hint="default" w:ascii="Times New Roman" w:hAnsi="Times New Roman" w:cs="Times New Roman"/>
          <w:color w:val="000000"/>
          <w:szCs w:val="30"/>
          <w:highlight w:val="none"/>
          <w:lang w:eastAsia="zh-CN"/>
        </w:rPr>
        <w:t>：</w:t>
      </w:r>
      <w:r>
        <w:rPr>
          <w:rFonts w:hint="default" w:ascii="Times New Roman" w:hAnsi="Times New Roman" w:cs="Times New Roman"/>
          <w:b w:val="0"/>
          <w:bCs w:val="0"/>
          <w:color w:val="000000"/>
          <w:szCs w:val="30"/>
          <w:highlight w:val="none"/>
          <w:lang w:eastAsia="zh-CN"/>
        </w:rPr>
        <w:t>挂牌的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应自主申报交易电量、价格等挂牌信息，摘牌的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自主申报摘牌电量、价格等信息，交易曲线在交易公告中明确。</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申报电量、申报价格应分别考虑输电损耗、输配电价（含线损）、政府基金及附加后统一折算到约定的交易关口，形成折算后的售电主体和购电主体申报信息。统一出清方式下，</w:t>
      </w:r>
      <w:r>
        <w:rPr>
          <w:rFonts w:hint="default" w:ascii="Times New Roman" w:hAnsi="Times New Roman" w:cs="Times New Roman"/>
          <w:color w:val="000000"/>
          <w:szCs w:val="30"/>
          <w:highlight w:val="none"/>
        </w:rPr>
        <w:t>当存在多个挂牌方时，某一摘牌方可分别向各挂牌方自主申报摘牌电量。该摘牌方总申报摘牌电量不能超过自身发用电能力约束。</w:t>
      </w:r>
    </w:p>
    <w:p>
      <w:pPr>
        <w:pageBreakBefore w:val="0"/>
        <w:widowControl w:val="0"/>
        <w:numPr>
          <w:ilvl w:val="0"/>
          <w:numId w:val="26"/>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bCs/>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eastAsia="仿宋_GB2312" w:cs="Times New Roman"/>
          <w:color w:val="000000"/>
          <w:szCs w:val="30"/>
          <w:highlight w:val="none"/>
          <w:lang w:val="en-US" w:eastAsia="zh-CN"/>
        </w:rPr>
      </w:pPr>
      <w:r>
        <w:rPr>
          <w:rFonts w:hint="default" w:ascii="Times New Roman" w:hAnsi="Times New Roman" w:cs="Times New Roman"/>
          <w:color w:val="000000"/>
          <w:szCs w:val="30"/>
          <w:highlight w:val="none"/>
          <w:lang w:val="en-US" w:eastAsia="zh-CN"/>
        </w:rPr>
        <w:t>挂牌交易可以采用统一出清和滚动撮合两种出清方式。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1</w:t>
      </w:r>
      <w:r>
        <w:rPr>
          <w:rFonts w:hint="default" w:ascii="Times New Roman" w:hAnsi="Times New Roman" w:cs="Times New Roman"/>
          <w:color w:val="000000"/>
          <w:szCs w:val="30"/>
          <w:highlight w:val="none"/>
          <w:lang w:eastAsia="zh-CN"/>
        </w:rPr>
        <w:t>）统一出清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广州电力交易中心汇总交易期间</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挂牌及摘牌结果，统一进行出清。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rPr>
        <w:t>当某一挂牌方的总摘牌电量大于其挂牌电量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时，按</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摘牌</w:t>
      </w:r>
      <w:r>
        <w:rPr>
          <w:rFonts w:hint="default" w:ascii="Times New Roman" w:hAnsi="Times New Roman" w:cs="Times New Roman"/>
          <w:color w:val="000000"/>
          <w:szCs w:val="30"/>
          <w:highlight w:val="none"/>
        </w:rPr>
        <w:t>电量所占比例等</w:t>
      </w:r>
      <w:r>
        <w:rPr>
          <w:rFonts w:hint="default" w:ascii="Times New Roman" w:hAnsi="Times New Roman" w:cs="Times New Roman"/>
          <w:color w:val="000000"/>
          <w:szCs w:val="30"/>
          <w:highlight w:val="none"/>
          <w:lang w:eastAsia="zh-CN"/>
        </w:rPr>
        <w:t>比例调减</w:t>
      </w:r>
      <w:r>
        <w:rPr>
          <w:rFonts w:hint="default" w:ascii="Times New Roman" w:hAnsi="Times New Roman" w:cs="Times New Roman"/>
          <w:color w:val="000000"/>
          <w:szCs w:val="30"/>
          <w:highlight w:val="none"/>
        </w:rPr>
        <w:t>；当总摘牌电量小于或等于挂牌电量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经安全校核后</w:t>
      </w:r>
      <w:r>
        <w:rPr>
          <w:rFonts w:hint="default" w:ascii="Times New Roman" w:hAnsi="Times New Roman" w:cs="Times New Roman"/>
          <w:color w:val="000000"/>
          <w:szCs w:val="30"/>
          <w:highlight w:val="none"/>
        </w:rPr>
        <w:t>摘牌电量即为成交电量。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eastAsia="仿宋_GB2312" w:cs="Times New Roman"/>
          <w:color w:val="000000"/>
          <w:szCs w:val="30"/>
          <w:highlight w:val="none"/>
          <w:lang w:eastAsia="zh-CN"/>
        </w:rPr>
      </w:pPr>
      <w:r>
        <w:rPr>
          <w:rFonts w:hint="default" w:ascii="Times New Roman" w:hAnsi="Times New Roman" w:cs="Times New Roman"/>
          <w:b/>
          <w:bCs/>
          <w:color w:val="000000"/>
          <w:szCs w:val="30"/>
          <w:highlight w:val="none"/>
          <w:lang w:eastAsia="zh-CN"/>
        </w:rPr>
        <w:t>成交价格</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挂牌价格即为成交价格</w:t>
      </w:r>
      <w:r>
        <w:rPr>
          <w:rFonts w:hint="default" w:ascii="Times New Roman" w:hAnsi="Times New Roman" w:cs="Times New Roman"/>
          <w:color w:val="000000"/>
          <w:szCs w:val="30"/>
          <w:highlight w:val="none"/>
          <w:lang w:eastAsia="zh-CN"/>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2</w:t>
      </w:r>
      <w:r>
        <w:rPr>
          <w:rFonts w:hint="default" w:ascii="Times New Roman" w:hAnsi="Times New Roman" w:cs="Times New Roman"/>
          <w:color w:val="000000"/>
          <w:szCs w:val="30"/>
          <w:highlight w:val="none"/>
          <w:lang w:eastAsia="zh-CN"/>
        </w:rPr>
        <w:t>）滚动撮合出清</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实时建立</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购电主体</w:t>
      </w:r>
      <w:r>
        <w:rPr>
          <w:rFonts w:hint="default" w:ascii="Times New Roman" w:hAnsi="Times New Roman" w:cs="Times New Roman"/>
          <w:color w:val="000000"/>
          <w:szCs w:val="30"/>
          <w:highlight w:val="none"/>
        </w:rPr>
        <w:t>挂牌两个队列，将</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挂牌电量按挂牌价从高到低排列，将</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挂牌电量按挂牌价从低到高排列，价格相同时按申报时间较早者优先排列。交易系统接收到</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rPr>
        <w:t>提交的新增挂牌时，则实时动态刷新队列。交易系统按照价格优先、时间优先的原则，自动撮合</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挂牌价高于或等于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挂牌价的电量成交：较高的</w:t>
      </w:r>
      <w:r>
        <w:rPr>
          <w:rFonts w:hint="default" w:ascii="Times New Roman" w:hAnsi="Times New Roman" w:cs="Times New Roman"/>
          <w:color w:val="000000"/>
          <w:szCs w:val="30"/>
          <w:highlight w:val="none"/>
          <w:lang w:eastAsia="zh-CN"/>
        </w:rPr>
        <w:t>购电挂牌</w:t>
      </w:r>
      <w:r>
        <w:rPr>
          <w:rFonts w:hint="default" w:ascii="Times New Roman" w:hAnsi="Times New Roman" w:cs="Times New Roman"/>
          <w:color w:val="000000"/>
          <w:szCs w:val="30"/>
          <w:highlight w:val="none"/>
        </w:rPr>
        <w:t>价优先成交，</w:t>
      </w:r>
      <w:r>
        <w:rPr>
          <w:rFonts w:hint="default" w:ascii="Times New Roman" w:hAnsi="Times New Roman" w:cs="Times New Roman"/>
          <w:color w:val="000000"/>
          <w:szCs w:val="30"/>
          <w:highlight w:val="none"/>
          <w:lang w:eastAsia="zh-CN"/>
        </w:rPr>
        <w:t>较低的售电挂牌价</w:t>
      </w:r>
      <w:r>
        <w:rPr>
          <w:rFonts w:hint="default" w:ascii="Times New Roman" w:hAnsi="Times New Roman" w:cs="Times New Roman"/>
          <w:color w:val="000000"/>
          <w:szCs w:val="30"/>
          <w:highlight w:val="none"/>
        </w:rPr>
        <w:t>优先成交；买卖方向相同、价格相同时，先挂牌者优先成交。</w:t>
      </w:r>
      <w:r>
        <w:rPr>
          <w:rFonts w:hint="default" w:ascii="Times New Roman" w:hAnsi="Times New Roman" w:cs="Times New Roman"/>
          <w:color w:val="000000"/>
          <w:szCs w:val="30"/>
          <w:highlight w:val="none"/>
          <w:lang w:val="en-US" w:eastAsia="zh-CN"/>
        </w:rPr>
        <w:t>当</w:t>
      </w:r>
      <w:r>
        <w:rPr>
          <w:rFonts w:hint="default" w:ascii="Times New Roman" w:hAnsi="Times New Roman" w:cs="Times New Roman"/>
          <w:color w:val="000000"/>
          <w:szCs w:val="30"/>
          <w:highlight w:val="none"/>
          <w:lang w:eastAsia="zh-CN"/>
        </w:rPr>
        <w:t>实时撮合出清</w:t>
      </w:r>
      <w:r>
        <w:rPr>
          <w:rFonts w:hint="default" w:ascii="Times New Roman" w:hAnsi="Times New Roman" w:cs="Times New Roman"/>
          <w:color w:val="000000"/>
          <w:szCs w:val="30"/>
          <w:highlight w:val="none"/>
          <w:lang w:val="en-US" w:eastAsia="zh-CN"/>
        </w:rPr>
        <w:t>的电量达到</w:t>
      </w:r>
      <w:r>
        <w:rPr>
          <w:rFonts w:hint="default" w:ascii="Times New Roman" w:hAnsi="Times New Roman" w:cs="Times New Roman"/>
          <w:color w:val="000000"/>
          <w:szCs w:val="30"/>
          <w:highlight w:val="none"/>
        </w:rPr>
        <w:t>交易规模</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，挂牌交易自动结束，最后一笔</w:t>
      </w:r>
      <w:r>
        <w:rPr>
          <w:rFonts w:hint="default" w:ascii="Times New Roman" w:hAnsi="Times New Roman" w:cs="Times New Roman"/>
          <w:color w:val="000000"/>
          <w:szCs w:val="30"/>
          <w:highlight w:val="none"/>
          <w:lang w:val="en-US" w:eastAsia="zh-CN"/>
        </w:rPr>
        <w:t>成交</w:t>
      </w:r>
      <w:r>
        <w:rPr>
          <w:rFonts w:hint="default" w:ascii="Times New Roman" w:hAnsi="Times New Roman" w:cs="Times New Roman"/>
          <w:color w:val="000000"/>
          <w:szCs w:val="30"/>
          <w:highlight w:val="none"/>
          <w:lang w:eastAsia="zh-CN"/>
        </w:rPr>
        <w:t>电量由剩余可交易规模确定</w:t>
      </w:r>
      <w:r>
        <w:rPr>
          <w:rFonts w:hint="default" w:ascii="Times New Roman" w:hAnsi="Times New Roman" w:cs="Times New Roman"/>
          <w:color w:val="000000"/>
          <w:szCs w:val="30"/>
          <w:highlight w:val="none"/>
        </w:rPr>
        <w:t>。</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lang w:eastAsia="zh-CN"/>
        </w:rPr>
        <w:t>：系统撮合成交的每一对购电挂牌电量、售电挂牌电量二者中较小者。</w:t>
      </w:r>
    </w:p>
    <w:p>
      <w:pPr>
        <w:pageBreakBefore w:val="0"/>
        <w:widowControl w:val="0"/>
        <w:numPr>
          <w:ilvl w:val="0"/>
          <w:numId w:val="0"/>
        </w:numPr>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eastAsia="zh-CN"/>
        </w:rPr>
        <w:t>成交电价</w:t>
      </w:r>
      <w:r>
        <w:rPr>
          <w:rFonts w:hint="default" w:ascii="Times New Roman" w:hAnsi="Times New Roman" w:cs="Times New Roman"/>
          <w:b w:val="0"/>
          <w:bCs w:val="0"/>
          <w:color w:val="000000"/>
          <w:szCs w:val="30"/>
          <w:highlight w:val="none"/>
          <w:lang w:eastAsia="zh-CN"/>
        </w:rPr>
        <w:t>：</w:t>
      </w:r>
      <w:r>
        <w:rPr>
          <w:rFonts w:hint="default" w:ascii="Times New Roman" w:hAnsi="Times New Roman" w:cs="Times New Roman"/>
          <w:color w:val="000000"/>
          <w:szCs w:val="30"/>
          <w:highlight w:val="none"/>
        </w:rPr>
        <w:t>当最高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挂牌价与最低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挂牌价相同时，以该价格为成交价。当</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挂牌价高于实时的最低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挂牌价时，取实时发布的最低</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挂牌价为其成交价。当</w:t>
      </w:r>
      <w:r>
        <w:rPr>
          <w:rFonts w:hint="default" w:ascii="Times New Roman" w:hAnsi="Times New Roman" w:cs="Times New Roman"/>
          <w:color w:val="000000"/>
          <w:szCs w:val="30"/>
          <w:highlight w:val="none"/>
          <w:lang w:eastAsia="zh-CN"/>
        </w:rPr>
        <w:t>售电</w:t>
      </w:r>
      <w:r>
        <w:rPr>
          <w:rFonts w:hint="default" w:ascii="Times New Roman" w:hAnsi="Times New Roman" w:cs="Times New Roman"/>
          <w:color w:val="000000"/>
          <w:szCs w:val="30"/>
          <w:highlight w:val="none"/>
        </w:rPr>
        <w:t>挂牌价低于实时的最高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挂牌价时，取实时发布的最高</w:t>
      </w:r>
      <w:r>
        <w:rPr>
          <w:rFonts w:hint="default" w:ascii="Times New Roman" w:hAnsi="Times New Roman" w:cs="Times New Roman"/>
          <w:color w:val="000000"/>
          <w:szCs w:val="30"/>
          <w:highlight w:val="none"/>
          <w:lang w:eastAsia="zh-CN"/>
        </w:rPr>
        <w:t>购电</w:t>
      </w:r>
      <w:r>
        <w:rPr>
          <w:rFonts w:hint="default" w:ascii="Times New Roman" w:hAnsi="Times New Roman" w:cs="Times New Roman"/>
          <w:color w:val="000000"/>
          <w:szCs w:val="30"/>
          <w:highlight w:val="none"/>
        </w:rPr>
        <w:t>挂牌价为其成交价。</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eastAsia="仿宋_GB2312" w:cs="Times New Roman"/>
          <w:b/>
          <w:bCs/>
          <w:color w:val="000000"/>
          <w:szCs w:val="30"/>
          <w:highlight w:val="none"/>
          <w:lang w:val="en-US" w:eastAsia="zh-CN"/>
        </w:rPr>
      </w:pPr>
      <w:r>
        <w:rPr>
          <w:rFonts w:hint="default" w:ascii="Times New Roman" w:hAnsi="Times New Roman" w:cs="Times New Roman"/>
          <w:b w:val="0"/>
          <w:bCs w:val="0"/>
          <w:color w:val="000000"/>
          <w:szCs w:val="30"/>
          <w:highlight w:val="none"/>
          <w:lang w:eastAsia="zh-CN"/>
        </w:rPr>
        <w:t>交易关口侧的成交电量、价格应分别考虑输电损耗、输配电价（含线损）、政府基金及附加后折算到购电侧和售电侧，作为售电主体和购电主体成交电量和价格。</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78" w:name="_Toc5821"/>
      <w:bookmarkStart w:id="79" w:name="_Toc88663454"/>
      <w:r>
        <w:rPr>
          <w:rFonts w:hint="default" w:ascii="Times New Roman" w:hAnsi="Times New Roman" w:eastAsia="黑体" w:cs="Times New Roman"/>
          <w:szCs w:val="30"/>
          <w:highlight w:val="none"/>
        </w:rPr>
        <w:t>年度/月度送电合同转让交易（协商）</w:t>
      </w:r>
      <w:bookmarkEnd w:id="78"/>
      <w:bookmarkEnd w:id="79"/>
    </w:p>
    <w:p>
      <w:pPr>
        <w:pageBreakBefore w:val="0"/>
        <w:widowControl w:val="0"/>
        <w:numPr>
          <w:ilvl w:val="0"/>
          <w:numId w:val="27"/>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送电合同。</w:t>
      </w:r>
    </w:p>
    <w:p>
      <w:pPr>
        <w:pageBreakBefore w:val="0"/>
        <w:widowControl w:val="0"/>
        <w:numPr>
          <w:ilvl w:val="0"/>
          <w:numId w:val="27"/>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27"/>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送电省区发电企业、点对网送电电厂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超高压公司、送端电网</w:t>
      </w:r>
    </w:p>
    <w:p>
      <w:pPr>
        <w:pageBreakBefore w:val="0"/>
        <w:widowControl w:val="0"/>
        <w:numPr>
          <w:ilvl w:val="0"/>
          <w:numId w:val="27"/>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27"/>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协商交易：出让主体申报，受让主体确认</w:t>
      </w:r>
    </w:p>
    <w:p>
      <w:pPr>
        <w:pageBreakBefore w:val="0"/>
        <w:widowControl w:val="0"/>
        <w:numPr>
          <w:ilvl w:val="0"/>
          <w:numId w:val="27"/>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申报出让电量、价格为申报关口的电量和价格，其中申报关口分三类：一是出让省区发电企业与所在省区电网企业之间的计量关口；二是点对网送电电厂与超高压公司之间的计量关口；三是出让省区电网企业与超高压公司之间的计量关口。申报电量、价格按照省间、省内核定线损、输电费和线损电费分别折算至交易关口，作为出让申报折算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申报受让电量、价格为申报关口的电量和价格，其中申报关口分三类：一是受让省区发电企业与所在省区电网企业之间的计量关口；二是受让点对网送电电厂与超高压公司之间的计量关口；三是受让省区电网企业与超高压公司之间的计量关口。申报电量、价格按照省间、省内核定线损、输电费和线损电费分别折算至交易关口，作为受让申报折算电量。</w:t>
      </w:r>
    </w:p>
    <w:p>
      <w:pPr>
        <w:pageBreakBefore w:val="0"/>
        <w:widowControl w:val="0"/>
        <w:numPr>
          <w:ilvl w:val="0"/>
          <w:numId w:val="27"/>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相关</w:t>
      </w:r>
      <w:r>
        <w:rPr>
          <w:rFonts w:hint="eastAsia" w:cs="Times New Roman"/>
          <w:szCs w:val="30"/>
          <w:highlight w:val="none"/>
          <w:lang w:eastAsia="zh-CN"/>
        </w:rPr>
        <w:t>经营主体</w:t>
      </w:r>
      <w:r>
        <w:rPr>
          <w:rFonts w:hint="default" w:ascii="Times New Roman" w:hAnsi="Times New Roman" w:cs="Times New Roman"/>
          <w:szCs w:val="30"/>
          <w:highlight w:val="none"/>
        </w:rPr>
        <w:t>协商一致后，在广州电力交易中心，由出让主体申报，受让主体确认增送电量。广州电力交易中心进行交易出清。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出让主体总申报折算电量未超过交易规模时，申报折算电量即为成交电量。若出让主体总申报折算电量超过交易规模时，按申报折算电量比例成交。</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出让主体申报折算价格即为成交价格。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出让主体成交电量和价格：</w:t>
      </w:r>
      <w:r>
        <w:rPr>
          <w:rFonts w:hint="default" w:ascii="Times New Roman" w:hAnsi="Times New Roman" w:cs="Times New Roman"/>
          <w:szCs w:val="30"/>
          <w:highlight w:val="none"/>
        </w:rPr>
        <w:t>出让主体成交电量、价格分别按照省间、省内核定线损、输电费和线损电费分别折算至出让主体申报关口。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受让主体成交电量和价格：</w:t>
      </w:r>
      <w:r>
        <w:rPr>
          <w:rFonts w:hint="default" w:ascii="Times New Roman" w:hAnsi="Times New Roman" w:cs="Times New Roman"/>
          <w:szCs w:val="30"/>
          <w:highlight w:val="none"/>
        </w:rPr>
        <w:t>受让主体成交电量、价格分别由成交电量、价格按照省间、省内核定线损、输电费和线损电费分别折算受让主体申报关口。</w:t>
      </w:r>
    </w:p>
    <w:p>
      <w:pPr>
        <w:pageBreakBefore w:val="0"/>
        <w:widowControl w:val="0"/>
        <w:kinsoku/>
        <w:wordWrap/>
        <w:topLinePunct w:val="0"/>
        <w:autoSpaceDE/>
        <w:autoSpaceDN/>
        <w:bidi w:val="0"/>
        <w:adjustRightInd/>
        <w:ind w:firstLine="600" w:firstLineChars="200"/>
        <w:textAlignment w:val="auto"/>
        <w:rPr>
          <w:rFonts w:hint="default" w:ascii="Times New Roman" w:hAnsi="Times New Roman" w:cs="Times New Roman"/>
          <w:highlight w:val="none"/>
        </w:rPr>
      </w:pP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80" w:name="_Toc88663455"/>
      <w:bookmarkStart w:id="81" w:name="_Toc16445"/>
      <w:r>
        <w:rPr>
          <w:rFonts w:hint="default" w:ascii="Times New Roman" w:hAnsi="Times New Roman" w:eastAsia="黑体" w:cs="Times New Roman"/>
          <w:szCs w:val="30"/>
          <w:highlight w:val="none"/>
        </w:rPr>
        <w:t>年度/月度送电合同转让交易（竞价）</w:t>
      </w:r>
      <w:bookmarkEnd w:id="80"/>
      <w:bookmarkEnd w:id="81"/>
    </w:p>
    <w:p>
      <w:pPr>
        <w:pageBreakBefore w:val="0"/>
        <w:widowControl w:val="0"/>
        <w:numPr>
          <w:ilvl w:val="0"/>
          <w:numId w:val="28"/>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送电合同。</w:t>
      </w:r>
    </w:p>
    <w:p>
      <w:pPr>
        <w:pageBreakBefore w:val="0"/>
        <w:widowControl w:val="0"/>
        <w:numPr>
          <w:ilvl w:val="0"/>
          <w:numId w:val="28"/>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28"/>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送电省区发电企业、点对网送电电厂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超高压公司、送端电网</w:t>
      </w:r>
    </w:p>
    <w:p>
      <w:pPr>
        <w:pageBreakBefore w:val="0"/>
        <w:widowControl w:val="0"/>
        <w:numPr>
          <w:ilvl w:val="0"/>
          <w:numId w:val="28"/>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28"/>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竞价交易：统一边际出清。</w:t>
      </w:r>
    </w:p>
    <w:p>
      <w:pPr>
        <w:pageBreakBefore w:val="0"/>
        <w:widowControl w:val="0"/>
        <w:numPr>
          <w:ilvl w:val="0"/>
          <w:numId w:val="28"/>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申报出让电量、价格为申报关口的电量和价格，其中申报关口分三类：一是出让省区发电企业与所在省区电网企业之间的计量关口；二是点对网送电电厂与超高压公司之间的计量关口；三是出让省区电网企业与超高压公司之间的计量关口。申报电量、价格按照省间、省内核定线损、输电费和线损电费分别折算至交易关口，作为出让申报折算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申报受让电量、价格为申报关口的电量和价格，其中申报关口分三类：一是受让省区发电企业与所在省区电网企业之间的计量关口；二是受让点对网送电电厂与超高压公司之间的计量关口；三是受让省区电网企业与超高压公司之间的计量关口。申报电量、价格按照省间、省内核定线损、输电费和线损电费分别折算至交易关口，作为受让申报折算电量。</w:t>
      </w:r>
    </w:p>
    <w:p>
      <w:pPr>
        <w:pageBreakBefore w:val="0"/>
        <w:widowControl w:val="0"/>
        <w:numPr>
          <w:ilvl w:val="0"/>
          <w:numId w:val="28"/>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当受让折算价格</w:t>
      </w:r>
      <w:r>
        <w:rPr>
          <w:rFonts w:hint="eastAsia" w:cs="Times New Roman"/>
          <w:szCs w:val="30"/>
          <w:highlight w:val="none"/>
          <w:lang w:val="en-US" w:eastAsia="zh-CN"/>
        </w:rPr>
        <w:t>小</w:t>
      </w:r>
      <w:r>
        <w:rPr>
          <w:rFonts w:hint="default" w:ascii="Times New Roman" w:hAnsi="Times New Roman" w:cs="Times New Roman"/>
          <w:szCs w:val="30"/>
          <w:highlight w:val="none"/>
        </w:rPr>
        <w:t>于出让折算价格时可成交。按照受让折算价格减去出让折算价格的价差大小依次成交。</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当总可成交规模超过交易规模时，或受让折算价格减去出让折算价格的价差为负时，交易结束。</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成交电量为出让折算电量与受让折算电量的较小值。成交价格为出让折算价格与受让折算价格的平均值。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出让主体成交电量和价格：</w:t>
      </w:r>
      <w:r>
        <w:rPr>
          <w:rFonts w:hint="default" w:ascii="Times New Roman" w:hAnsi="Times New Roman" w:cs="Times New Roman"/>
          <w:szCs w:val="30"/>
          <w:highlight w:val="none"/>
        </w:rPr>
        <w:t>出让主体成交电量、价格分别按照省间、省内核定线损、输电费和线损电费分别折算至出让主体申报关口。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受让主体成交电量和价格：</w:t>
      </w:r>
      <w:r>
        <w:rPr>
          <w:rFonts w:hint="default" w:ascii="Times New Roman" w:hAnsi="Times New Roman" w:cs="Times New Roman"/>
          <w:szCs w:val="30"/>
          <w:highlight w:val="none"/>
        </w:rPr>
        <w:t>受让主体成交电量、价格分别由成交电量、价格按照省间、省内核定线损、输电费和线损电费分别折算受让主体申报关口。</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82" w:name="_Toc14372"/>
      <w:bookmarkStart w:id="83" w:name="_Toc88663456"/>
      <w:r>
        <w:rPr>
          <w:rFonts w:hint="default" w:ascii="Times New Roman" w:hAnsi="Times New Roman" w:eastAsia="黑体" w:cs="Times New Roman"/>
          <w:szCs w:val="30"/>
          <w:highlight w:val="none"/>
        </w:rPr>
        <w:t>年度/月度送电合同转让交易（挂牌）</w:t>
      </w:r>
      <w:bookmarkEnd w:id="82"/>
      <w:bookmarkEnd w:id="83"/>
    </w:p>
    <w:p>
      <w:pPr>
        <w:pageBreakBefore w:val="0"/>
        <w:widowControl w:val="0"/>
        <w:numPr>
          <w:ilvl w:val="0"/>
          <w:numId w:val="29"/>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送电合同。</w:t>
      </w:r>
    </w:p>
    <w:p>
      <w:pPr>
        <w:pageBreakBefore w:val="0"/>
        <w:widowControl w:val="0"/>
        <w:numPr>
          <w:ilvl w:val="0"/>
          <w:numId w:val="29"/>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29"/>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送电省区发电企业、点对网送电电厂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eastAsia="仿宋_GB2312" w:cs="Times New Roman"/>
          <w:b/>
          <w:bCs/>
          <w:szCs w:val="30"/>
          <w:highlight w:val="none"/>
          <w:lang w:eastAsia="zh-CN"/>
        </w:rPr>
      </w:pPr>
      <w:r>
        <w:rPr>
          <w:rFonts w:hint="default" w:ascii="Times New Roman" w:hAnsi="Times New Roman" w:cs="Times New Roman"/>
          <w:b/>
          <w:bCs/>
          <w:szCs w:val="30"/>
          <w:highlight w:val="none"/>
        </w:rPr>
        <w:t>输电主体：</w:t>
      </w:r>
      <w:r>
        <w:rPr>
          <w:rFonts w:hint="default" w:ascii="Times New Roman" w:hAnsi="Times New Roman" w:cs="Times New Roman"/>
          <w:b w:val="0"/>
          <w:bCs w:val="0"/>
          <w:szCs w:val="30"/>
          <w:highlight w:val="none"/>
        </w:rPr>
        <w:t>超高压公司，</w:t>
      </w:r>
      <w:r>
        <w:rPr>
          <w:rFonts w:hint="default" w:ascii="Times New Roman" w:hAnsi="Times New Roman" w:cs="Times New Roman"/>
          <w:b w:val="0"/>
          <w:bCs w:val="0"/>
          <w:szCs w:val="30"/>
          <w:highlight w:val="none"/>
          <w:lang w:eastAsia="zh-CN"/>
        </w:rPr>
        <w:t>相关电网公司</w:t>
      </w:r>
    </w:p>
    <w:p>
      <w:pPr>
        <w:pageBreakBefore w:val="0"/>
        <w:widowControl w:val="0"/>
        <w:numPr>
          <w:ilvl w:val="0"/>
          <w:numId w:val="29"/>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交易关口：</w:t>
      </w:r>
      <w:r>
        <w:rPr>
          <w:rFonts w:hint="default" w:ascii="Times New Roman" w:hAnsi="Times New Roman" w:cs="Times New Roman"/>
          <w:b w:val="0"/>
          <w:bCs w:val="0"/>
          <w:color w:val="000000"/>
          <w:szCs w:val="30"/>
          <w:highlight w:val="none"/>
          <w:lang w:eastAsia="zh-CN"/>
        </w:rPr>
        <w:t>原则上为</w:t>
      </w:r>
      <w:r>
        <w:rPr>
          <w:rFonts w:hint="default" w:ascii="Times New Roman" w:hAnsi="Times New Roman" w:cs="Times New Roman"/>
          <w:color w:val="000000"/>
          <w:szCs w:val="30"/>
          <w:highlight w:val="none"/>
        </w:rPr>
        <w:t>受电省区电网企业与超高压公司之间的计量关口</w:t>
      </w:r>
      <w:r>
        <w:rPr>
          <w:rFonts w:hint="default" w:ascii="Times New Roman" w:hAnsi="Times New Roman" w:cs="Times New Roman"/>
          <w:color w:val="000000"/>
          <w:szCs w:val="30"/>
          <w:highlight w:val="none"/>
          <w:lang w:eastAsia="zh-CN"/>
        </w:rPr>
        <w:t>，具体在交易公告中明确</w:t>
      </w:r>
      <w:r>
        <w:rPr>
          <w:rFonts w:hint="default" w:ascii="Times New Roman" w:hAnsi="Times New Roman" w:cs="Times New Roman"/>
          <w:color w:val="000000"/>
          <w:szCs w:val="30"/>
          <w:highlight w:val="none"/>
        </w:rPr>
        <w:t>。</w:t>
      </w:r>
    </w:p>
    <w:p>
      <w:pPr>
        <w:pageBreakBefore w:val="0"/>
        <w:widowControl w:val="0"/>
        <w:numPr>
          <w:ilvl w:val="0"/>
          <w:numId w:val="29"/>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交易方式：</w:t>
      </w:r>
      <w:r>
        <w:rPr>
          <w:rFonts w:hint="default" w:ascii="Times New Roman" w:hAnsi="Times New Roman" w:cs="Times New Roman"/>
          <w:color w:val="000000"/>
          <w:szCs w:val="30"/>
          <w:highlight w:val="none"/>
        </w:rPr>
        <w:t>挂牌交易</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可采用</w:t>
      </w:r>
      <w:r>
        <w:rPr>
          <w:rFonts w:hint="default" w:ascii="Times New Roman" w:hAnsi="Times New Roman" w:cs="Times New Roman"/>
          <w:color w:val="000000"/>
          <w:szCs w:val="30"/>
          <w:highlight w:val="none"/>
          <w:lang w:eastAsia="zh-CN"/>
        </w:rPr>
        <w:t>交易系统根据出让（受让）</w:t>
      </w:r>
      <w:r>
        <w:rPr>
          <w:rFonts w:hint="default" w:ascii="Times New Roman" w:hAnsi="Times New Roman" w:cs="Times New Roman"/>
          <w:color w:val="000000"/>
          <w:szCs w:val="30"/>
          <w:highlight w:val="none"/>
        </w:rPr>
        <w:t>主体</w:t>
      </w:r>
      <w:r>
        <w:rPr>
          <w:rFonts w:hint="default" w:ascii="Times New Roman" w:hAnsi="Times New Roman" w:cs="Times New Roman"/>
          <w:color w:val="000000"/>
          <w:szCs w:val="30"/>
          <w:highlight w:val="none"/>
          <w:lang w:eastAsia="zh-CN"/>
        </w:rPr>
        <w:t>自主</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受让（出让）</w:t>
      </w:r>
      <w:r>
        <w:rPr>
          <w:rFonts w:hint="default" w:ascii="Times New Roman" w:hAnsi="Times New Roman" w:cs="Times New Roman"/>
          <w:color w:val="000000"/>
          <w:szCs w:val="30"/>
          <w:highlight w:val="none"/>
        </w:rPr>
        <w:t>主体自主摘牌</w:t>
      </w:r>
      <w:r>
        <w:rPr>
          <w:rFonts w:hint="default" w:ascii="Times New Roman" w:hAnsi="Times New Roman" w:cs="Times New Roman"/>
          <w:color w:val="000000"/>
          <w:szCs w:val="30"/>
          <w:highlight w:val="none"/>
          <w:lang w:eastAsia="zh-CN"/>
        </w:rPr>
        <w:t>申报结果组织统一出清，也可由交易系统根据出让、受让主体挂牌价格滚动撮合出清。具体在交易公告中明确。</w:t>
      </w:r>
    </w:p>
    <w:p>
      <w:pPr>
        <w:pageBreakBefore w:val="0"/>
        <w:widowControl w:val="0"/>
        <w:numPr>
          <w:ilvl w:val="0"/>
          <w:numId w:val="29"/>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交易申报：</w:t>
      </w:r>
      <w:r>
        <w:rPr>
          <w:rFonts w:hint="default" w:ascii="Times New Roman" w:hAnsi="Times New Roman" w:cs="Times New Roman"/>
          <w:b w:val="0"/>
          <w:bCs w:val="0"/>
          <w:color w:val="000000"/>
          <w:szCs w:val="30"/>
          <w:highlight w:val="none"/>
          <w:lang w:eastAsia="zh-CN"/>
        </w:rPr>
        <w:t>挂牌的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应自主申报交易电量、价格等挂牌信息，摘牌的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自主申报摘牌电量、价格等信息，交易曲线在交易公告中明确。</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申报电量、申报价格应分别考虑输电损耗、输配电价（含线损）、政府基金及附加后统一折算到约定的交易关口，形成折算后的出让主体和受让主体申报信息。统一出清方式下，</w:t>
      </w:r>
      <w:r>
        <w:rPr>
          <w:rFonts w:hint="default" w:ascii="Times New Roman" w:hAnsi="Times New Roman" w:cs="Times New Roman"/>
          <w:color w:val="000000"/>
          <w:szCs w:val="30"/>
          <w:highlight w:val="none"/>
        </w:rPr>
        <w:t>当存在多个挂牌方时，某一摘牌方可分别向各挂牌方自主申报摘牌电量。该摘牌方总申报摘牌电量不能超过自身发用电能力约束。</w:t>
      </w:r>
    </w:p>
    <w:p>
      <w:pPr>
        <w:pageBreakBefore w:val="0"/>
        <w:widowControl w:val="0"/>
        <w:numPr>
          <w:ilvl w:val="0"/>
          <w:numId w:val="29"/>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bCs/>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eastAsia="仿宋_GB2312" w:cs="Times New Roman"/>
          <w:color w:val="000000"/>
          <w:szCs w:val="30"/>
          <w:highlight w:val="none"/>
          <w:lang w:val="en-US" w:eastAsia="zh-CN"/>
        </w:rPr>
      </w:pPr>
      <w:r>
        <w:rPr>
          <w:rFonts w:hint="default" w:ascii="Times New Roman" w:hAnsi="Times New Roman" w:cs="Times New Roman"/>
          <w:color w:val="000000"/>
          <w:szCs w:val="30"/>
          <w:highlight w:val="none"/>
          <w:lang w:val="en-US" w:eastAsia="zh-CN"/>
        </w:rPr>
        <w:t>挂牌交易可以采用统一出清和滚动撮合两种出清方式。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1</w:t>
      </w:r>
      <w:r>
        <w:rPr>
          <w:rFonts w:hint="default" w:ascii="Times New Roman" w:hAnsi="Times New Roman" w:cs="Times New Roman"/>
          <w:color w:val="000000"/>
          <w:szCs w:val="30"/>
          <w:highlight w:val="none"/>
          <w:lang w:eastAsia="zh-CN"/>
        </w:rPr>
        <w:t>）统一出清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广州电力交易中心汇总交易期间</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挂牌及摘牌结果，统一进行出清。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rPr>
        <w:t>当某一挂牌方的总摘牌电量大于其挂牌电量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时，按</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摘牌</w:t>
      </w:r>
      <w:r>
        <w:rPr>
          <w:rFonts w:hint="default" w:ascii="Times New Roman" w:hAnsi="Times New Roman" w:cs="Times New Roman"/>
          <w:color w:val="000000"/>
          <w:szCs w:val="30"/>
          <w:highlight w:val="none"/>
        </w:rPr>
        <w:t>电量所占比例等</w:t>
      </w:r>
      <w:r>
        <w:rPr>
          <w:rFonts w:hint="default" w:ascii="Times New Roman" w:hAnsi="Times New Roman" w:cs="Times New Roman"/>
          <w:color w:val="000000"/>
          <w:szCs w:val="30"/>
          <w:highlight w:val="none"/>
          <w:lang w:eastAsia="zh-CN"/>
        </w:rPr>
        <w:t>比例调减</w:t>
      </w:r>
      <w:r>
        <w:rPr>
          <w:rFonts w:hint="default" w:ascii="Times New Roman" w:hAnsi="Times New Roman" w:cs="Times New Roman"/>
          <w:color w:val="000000"/>
          <w:szCs w:val="30"/>
          <w:highlight w:val="none"/>
        </w:rPr>
        <w:t>；当总摘牌电量小于或等于挂牌电量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经安全校核后</w:t>
      </w:r>
      <w:r>
        <w:rPr>
          <w:rFonts w:hint="default" w:ascii="Times New Roman" w:hAnsi="Times New Roman" w:cs="Times New Roman"/>
          <w:color w:val="000000"/>
          <w:szCs w:val="30"/>
          <w:highlight w:val="none"/>
        </w:rPr>
        <w:t>摘牌电量即为成交电量。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eastAsia="仿宋_GB2312" w:cs="Times New Roman"/>
          <w:color w:val="000000"/>
          <w:szCs w:val="30"/>
          <w:highlight w:val="none"/>
          <w:lang w:eastAsia="zh-CN"/>
        </w:rPr>
      </w:pPr>
      <w:r>
        <w:rPr>
          <w:rFonts w:hint="default" w:ascii="Times New Roman" w:hAnsi="Times New Roman" w:cs="Times New Roman"/>
          <w:b/>
          <w:bCs/>
          <w:color w:val="000000"/>
          <w:szCs w:val="30"/>
          <w:highlight w:val="none"/>
          <w:lang w:eastAsia="zh-CN"/>
        </w:rPr>
        <w:t>成交价格</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挂牌价格即为成交价格</w:t>
      </w:r>
      <w:r>
        <w:rPr>
          <w:rFonts w:hint="default" w:ascii="Times New Roman" w:hAnsi="Times New Roman" w:cs="Times New Roman"/>
          <w:color w:val="000000"/>
          <w:szCs w:val="30"/>
          <w:highlight w:val="none"/>
          <w:lang w:eastAsia="zh-CN"/>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2</w:t>
      </w:r>
      <w:r>
        <w:rPr>
          <w:rFonts w:hint="default" w:ascii="Times New Roman" w:hAnsi="Times New Roman" w:cs="Times New Roman"/>
          <w:color w:val="000000"/>
          <w:szCs w:val="30"/>
          <w:highlight w:val="none"/>
          <w:lang w:eastAsia="zh-CN"/>
        </w:rPr>
        <w:t>）滚动撮合出清</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实时建立</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受让主体</w:t>
      </w:r>
      <w:r>
        <w:rPr>
          <w:rFonts w:hint="default" w:ascii="Times New Roman" w:hAnsi="Times New Roman" w:cs="Times New Roman"/>
          <w:color w:val="000000"/>
          <w:szCs w:val="30"/>
          <w:highlight w:val="none"/>
        </w:rPr>
        <w:t>挂牌两个队列，将</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挂牌电量按挂牌价从高到低排列，将</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挂牌电量按挂牌价从低到高排列，价格相同时按申报时间较早者优先排列。交易系统接收到</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rPr>
        <w:t>提交的新增挂牌时，则实时动态刷新队列。交易系统按照价格优先、时间优先的原则，自动撮合</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挂牌价高于或等于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挂牌价的电量成交：较高的</w:t>
      </w:r>
      <w:r>
        <w:rPr>
          <w:rFonts w:hint="default" w:ascii="Times New Roman" w:hAnsi="Times New Roman" w:cs="Times New Roman"/>
          <w:color w:val="000000"/>
          <w:szCs w:val="30"/>
          <w:highlight w:val="none"/>
          <w:lang w:eastAsia="zh-CN"/>
        </w:rPr>
        <w:t>出让挂</w:t>
      </w:r>
      <w:r>
        <w:rPr>
          <w:rFonts w:hint="default" w:ascii="Times New Roman" w:hAnsi="Times New Roman" w:cs="Times New Roman"/>
          <w:color w:val="000000"/>
          <w:szCs w:val="30"/>
          <w:highlight w:val="none"/>
        </w:rPr>
        <w:t>牌价优先成交，较低的</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价</w:t>
      </w:r>
      <w:r>
        <w:rPr>
          <w:rFonts w:hint="default" w:ascii="Times New Roman" w:hAnsi="Times New Roman" w:cs="Times New Roman"/>
          <w:color w:val="000000"/>
          <w:szCs w:val="30"/>
          <w:highlight w:val="none"/>
        </w:rPr>
        <w:t>优先成交；买卖方向相同、价格相同时，先挂牌者优先成交。</w:t>
      </w:r>
      <w:r>
        <w:rPr>
          <w:rFonts w:hint="default" w:ascii="Times New Roman" w:hAnsi="Times New Roman" w:cs="Times New Roman"/>
          <w:color w:val="000000"/>
          <w:szCs w:val="30"/>
          <w:highlight w:val="none"/>
          <w:lang w:val="en-US" w:eastAsia="zh-CN"/>
        </w:rPr>
        <w:t>当</w:t>
      </w:r>
      <w:r>
        <w:rPr>
          <w:rFonts w:hint="default" w:ascii="Times New Roman" w:hAnsi="Times New Roman" w:cs="Times New Roman"/>
          <w:color w:val="000000"/>
          <w:szCs w:val="30"/>
          <w:highlight w:val="none"/>
          <w:lang w:eastAsia="zh-CN"/>
        </w:rPr>
        <w:t>实时撮合出清</w:t>
      </w:r>
      <w:r>
        <w:rPr>
          <w:rFonts w:hint="default" w:ascii="Times New Roman" w:hAnsi="Times New Roman" w:cs="Times New Roman"/>
          <w:color w:val="000000"/>
          <w:szCs w:val="30"/>
          <w:highlight w:val="none"/>
          <w:lang w:val="en-US" w:eastAsia="zh-CN"/>
        </w:rPr>
        <w:t>的电量达到</w:t>
      </w:r>
      <w:r>
        <w:rPr>
          <w:rFonts w:hint="default" w:ascii="Times New Roman" w:hAnsi="Times New Roman" w:cs="Times New Roman"/>
          <w:color w:val="000000"/>
          <w:szCs w:val="30"/>
          <w:highlight w:val="none"/>
        </w:rPr>
        <w:t>交易规模</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，挂牌交易自动结束，最后一笔</w:t>
      </w:r>
      <w:r>
        <w:rPr>
          <w:rFonts w:hint="default" w:ascii="Times New Roman" w:hAnsi="Times New Roman" w:cs="Times New Roman"/>
          <w:color w:val="000000"/>
          <w:szCs w:val="30"/>
          <w:highlight w:val="none"/>
          <w:lang w:val="en-US" w:eastAsia="zh-CN"/>
        </w:rPr>
        <w:t>成交</w:t>
      </w:r>
      <w:r>
        <w:rPr>
          <w:rFonts w:hint="default" w:ascii="Times New Roman" w:hAnsi="Times New Roman" w:cs="Times New Roman"/>
          <w:color w:val="000000"/>
          <w:szCs w:val="30"/>
          <w:highlight w:val="none"/>
          <w:lang w:eastAsia="zh-CN"/>
        </w:rPr>
        <w:t>电量由剩余可交易规模确定</w:t>
      </w:r>
      <w:r>
        <w:rPr>
          <w:rFonts w:hint="default" w:ascii="Times New Roman" w:hAnsi="Times New Roman" w:cs="Times New Roman"/>
          <w:color w:val="000000"/>
          <w:szCs w:val="30"/>
          <w:highlight w:val="none"/>
        </w:rPr>
        <w:t>。</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lang w:eastAsia="zh-CN"/>
        </w:rPr>
        <w:t>：系统撮合成交的每一对出让挂牌电量、受让挂牌电量二者中较小者。</w:t>
      </w:r>
    </w:p>
    <w:p>
      <w:pPr>
        <w:pageBreakBefore w:val="0"/>
        <w:widowControl w:val="0"/>
        <w:numPr>
          <w:ilvl w:val="0"/>
          <w:numId w:val="0"/>
        </w:numPr>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成交电价</w:t>
      </w:r>
      <w:r>
        <w:rPr>
          <w:rFonts w:hint="default" w:ascii="Times New Roman" w:hAnsi="Times New Roman" w:cs="Times New Roman"/>
          <w:b w:val="0"/>
          <w:bCs w:val="0"/>
          <w:color w:val="000000"/>
          <w:szCs w:val="30"/>
          <w:highlight w:val="none"/>
          <w:lang w:eastAsia="zh-CN"/>
        </w:rPr>
        <w:t>：</w:t>
      </w:r>
      <w:r>
        <w:rPr>
          <w:rFonts w:hint="default" w:ascii="Times New Roman" w:hAnsi="Times New Roman" w:cs="Times New Roman"/>
          <w:color w:val="000000"/>
          <w:szCs w:val="30"/>
          <w:highlight w:val="none"/>
        </w:rPr>
        <w:t>当最高</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挂牌价与最低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挂牌价相同时，以该价格为成交价。当</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挂牌价高于实时的最低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挂牌价时，取实时发布的最低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挂牌价为其成交价。当</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挂牌价低于实时的最高</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挂牌价时，取实时发布的最高</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挂牌价为其成交价。</w:t>
      </w:r>
      <w:r>
        <w:rPr>
          <w:rFonts w:hint="default" w:ascii="Times New Roman" w:hAnsi="Times New Roman" w:cs="Times New Roman"/>
          <w:b w:val="0"/>
          <w:bCs w:val="0"/>
          <w:color w:val="000000"/>
          <w:szCs w:val="30"/>
          <w:highlight w:val="none"/>
          <w:lang w:eastAsia="zh-CN"/>
        </w:rPr>
        <w:t>交易关口侧的成交电量、价格应分别考虑输电损耗、输配电价（含线损）、政府基金及附加后折算到出让侧和受让侧，作为</w:t>
      </w:r>
      <w:r>
        <w:rPr>
          <w:rFonts w:hint="default" w:ascii="Times New Roman" w:hAnsi="Times New Roman" w:cs="Times New Roman"/>
          <w:b w:val="0"/>
          <w:bCs w:val="0"/>
          <w:color w:val="000000"/>
          <w:szCs w:val="30"/>
          <w:highlight w:val="none"/>
          <w:lang w:val="en-US" w:eastAsia="zh-CN"/>
        </w:rPr>
        <w:t>出让</w:t>
      </w:r>
      <w:r>
        <w:rPr>
          <w:rFonts w:hint="default" w:ascii="Times New Roman" w:hAnsi="Times New Roman" w:cs="Times New Roman"/>
          <w:b w:val="0"/>
          <w:bCs w:val="0"/>
          <w:color w:val="000000"/>
          <w:szCs w:val="30"/>
          <w:highlight w:val="none"/>
          <w:lang w:eastAsia="zh-CN"/>
        </w:rPr>
        <w:t>主体和</w:t>
      </w:r>
      <w:r>
        <w:rPr>
          <w:rFonts w:hint="default" w:ascii="Times New Roman" w:hAnsi="Times New Roman" w:cs="Times New Roman"/>
          <w:b w:val="0"/>
          <w:bCs w:val="0"/>
          <w:color w:val="000000"/>
          <w:szCs w:val="30"/>
          <w:highlight w:val="none"/>
          <w:lang w:val="en-US" w:eastAsia="zh-CN"/>
        </w:rPr>
        <w:t>受让</w:t>
      </w:r>
      <w:r>
        <w:rPr>
          <w:rFonts w:hint="default" w:ascii="Times New Roman" w:hAnsi="Times New Roman" w:cs="Times New Roman"/>
          <w:b w:val="0"/>
          <w:bCs w:val="0"/>
          <w:color w:val="000000"/>
          <w:szCs w:val="30"/>
          <w:highlight w:val="none"/>
          <w:lang w:eastAsia="zh-CN"/>
        </w:rPr>
        <w:t>主体成交电量和价格</w:t>
      </w:r>
      <w:r>
        <w:rPr>
          <w:rFonts w:hint="default" w:ascii="Times New Roman" w:hAnsi="Times New Roman" w:cs="Times New Roman"/>
          <w:color w:val="000000"/>
          <w:szCs w:val="30"/>
          <w:highlight w:val="none"/>
        </w:rPr>
        <w:t>。</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84" w:name="_Toc177"/>
      <w:bookmarkStart w:id="85" w:name="_Toc88663457"/>
      <w:r>
        <w:rPr>
          <w:rFonts w:hint="default" w:ascii="Times New Roman" w:hAnsi="Times New Roman" w:eastAsia="黑体" w:cs="Times New Roman"/>
          <w:szCs w:val="30"/>
          <w:highlight w:val="none"/>
        </w:rPr>
        <w:t>年度/月度发电合同转让交易（协商）</w:t>
      </w:r>
      <w:bookmarkEnd w:id="84"/>
      <w:bookmarkEnd w:id="85"/>
    </w:p>
    <w:p>
      <w:pPr>
        <w:pageBreakBefore w:val="0"/>
        <w:widowControl w:val="0"/>
        <w:numPr>
          <w:ilvl w:val="0"/>
          <w:numId w:val="30"/>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发电合同。</w:t>
      </w:r>
    </w:p>
    <w:p>
      <w:pPr>
        <w:pageBreakBefore w:val="0"/>
        <w:widowControl w:val="0"/>
        <w:numPr>
          <w:ilvl w:val="0"/>
          <w:numId w:val="30"/>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30"/>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受电省区发电企业</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送电省区发电企业</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超高压公司，送端电网</w:t>
      </w:r>
    </w:p>
    <w:p>
      <w:pPr>
        <w:pageBreakBefore w:val="0"/>
        <w:widowControl w:val="0"/>
        <w:numPr>
          <w:ilvl w:val="0"/>
          <w:numId w:val="30"/>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30"/>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协商交易：出让主体申报，受让主体确认</w:t>
      </w:r>
    </w:p>
    <w:p>
      <w:pPr>
        <w:pageBreakBefore w:val="0"/>
        <w:widowControl w:val="0"/>
        <w:numPr>
          <w:ilvl w:val="0"/>
          <w:numId w:val="30"/>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申报受让电量、价格为申报关口的电量和价格，其中申报关口分三类：一是受让省区发电企业与所在省区电网企业之间的计量关口；二是受让点对网送电电厂与超高压公司之间的计量关口；三是受让省区电网企业与超高压公司之间的计量关口。申报电量、价格按照省间、省内核定线损、输电费和线损电费分别折算至交易关口，作为受让申报折算电量。</w:t>
      </w:r>
    </w:p>
    <w:p>
      <w:pPr>
        <w:pageBreakBefore w:val="0"/>
        <w:widowControl w:val="0"/>
        <w:numPr>
          <w:ilvl w:val="0"/>
          <w:numId w:val="30"/>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相关</w:t>
      </w:r>
      <w:r>
        <w:rPr>
          <w:rFonts w:hint="eastAsia" w:cs="Times New Roman"/>
          <w:szCs w:val="30"/>
          <w:highlight w:val="none"/>
          <w:lang w:eastAsia="zh-CN"/>
        </w:rPr>
        <w:t>经营主体</w:t>
      </w:r>
      <w:r>
        <w:rPr>
          <w:rFonts w:hint="default" w:ascii="Times New Roman" w:hAnsi="Times New Roman" w:cs="Times New Roman"/>
          <w:szCs w:val="30"/>
          <w:highlight w:val="none"/>
        </w:rPr>
        <w:t>协商一致后，在广州电力交易中心，由出让主体申报，受让主体确认增送电量。广州电力交易中心进行交易出清。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出让主体总申报折算电量未超过交易规模时，申报折算电量即为成交电量。若出让主体总申报折算电量超过交易规模时，按申报折算电量比例成交。</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出让主体申报折算价格即为成交价格。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出让主体成交电量和价格：</w:t>
      </w:r>
      <w:r>
        <w:rPr>
          <w:rFonts w:hint="default" w:ascii="Times New Roman" w:hAnsi="Times New Roman" w:cs="Times New Roman"/>
          <w:szCs w:val="30"/>
          <w:highlight w:val="none"/>
        </w:rPr>
        <w:t>出让主体成交电量、价格即为成交电量、价格。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受让主体成交电量和价格：</w:t>
      </w:r>
      <w:r>
        <w:rPr>
          <w:rFonts w:hint="default" w:ascii="Times New Roman" w:hAnsi="Times New Roman" w:cs="Times New Roman"/>
          <w:szCs w:val="30"/>
          <w:highlight w:val="none"/>
        </w:rPr>
        <w:t>受让主体成交电量、价格分别由成交电量、价格按照省间、省内核定线损、输电费和线损电费分别折算受让主体申报关口。</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86" w:name="_Toc88663458"/>
      <w:bookmarkStart w:id="87" w:name="_Toc11762"/>
      <w:r>
        <w:rPr>
          <w:rFonts w:hint="default" w:ascii="Times New Roman" w:hAnsi="Times New Roman" w:eastAsia="黑体" w:cs="Times New Roman"/>
          <w:szCs w:val="30"/>
          <w:highlight w:val="none"/>
        </w:rPr>
        <w:t>年度/月度发电合同转让交易（竞价）</w:t>
      </w:r>
      <w:bookmarkEnd w:id="86"/>
      <w:bookmarkEnd w:id="87"/>
    </w:p>
    <w:p>
      <w:pPr>
        <w:pageBreakBefore w:val="0"/>
        <w:widowControl w:val="0"/>
        <w:numPr>
          <w:ilvl w:val="0"/>
          <w:numId w:val="31"/>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发电合同。</w:t>
      </w:r>
    </w:p>
    <w:p>
      <w:pPr>
        <w:pageBreakBefore w:val="0"/>
        <w:widowControl w:val="0"/>
        <w:numPr>
          <w:ilvl w:val="0"/>
          <w:numId w:val="31"/>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31"/>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受电省区发电企业</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送电省区发电企业</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超高压公司，送端、受端电网</w:t>
      </w:r>
    </w:p>
    <w:p>
      <w:pPr>
        <w:pageBreakBefore w:val="0"/>
        <w:widowControl w:val="0"/>
        <w:numPr>
          <w:ilvl w:val="0"/>
          <w:numId w:val="31"/>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31"/>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竞价交易：统一边际出清。</w:t>
      </w:r>
    </w:p>
    <w:p>
      <w:pPr>
        <w:pageBreakBefore w:val="0"/>
        <w:widowControl w:val="0"/>
        <w:numPr>
          <w:ilvl w:val="0"/>
          <w:numId w:val="31"/>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申报受让电量、价格为申报关口的电量和价格，其中申报关口分三类：一是受让省区发电企业与所在省区电网企业之间的计量关口；二是受让点对网送电电厂与超高压公司之间的计量关口；三是受让省区电网企业与超高压公司之间的计量关口。申报电量、价格按照省间、省内核定线损、输电费和线损电费分别折算至交易关口，作为受让申报折算电量。</w:t>
      </w:r>
    </w:p>
    <w:p>
      <w:pPr>
        <w:pageBreakBefore w:val="0"/>
        <w:widowControl w:val="0"/>
        <w:numPr>
          <w:ilvl w:val="0"/>
          <w:numId w:val="31"/>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当受让折算价格</w:t>
      </w:r>
      <w:r>
        <w:rPr>
          <w:rFonts w:hint="eastAsia" w:cs="Times New Roman"/>
          <w:szCs w:val="30"/>
          <w:highlight w:val="none"/>
          <w:lang w:val="en-US" w:eastAsia="zh-CN"/>
        </w:rPr>
        <w:t>小</w:t>
      </w:r>
      <w:r>
        <w:rPr>
          <w:rFonts w:hint="default" w:ascii="Times New Roman" w:hAnsi="Times New Roman" w:cs="Times New Roman"/>
          <w:szCs w:val="30"/>
          <w:highlight w:val="none"/>
        </w:rPr>
        <w:t>于出让折算价格时可成交。按照受让折算价格减去出让折算价格的价差大小依次成交。</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当总可成交规模超过交易规模时，或受让折算价格减去出让折算价格的价差为负时，交易结束。</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成交电量为出让折算电量与受让折算电量的较小值。成交价格为出让折算价格与受让折算价格的平均值。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出让主体成交电量和价格：</w:t>
      </w:r>
      <w:r>
        <w:rPr>
          <w:rFonts w:hint="default" w:ascii="Times New Roman" w:hAnsi="Times New Roman" w:cs="Times New Roman"/>
          <w:szCs w:val="30"/>
          <w:highlight w:val="none"/>
        </w:rPr>
        <w:t>出让主体成交电量、价格即为成交电量、价格。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highlight w:val="none"/>
        </w:rPr>
      </w:pPr>
      <w:r>
        <w:rPr>
          <w:rFonts w:hint="default" w:ascii="Times New Roman" w:hAnsi="Times New Roman" w:cs="Times New Roman"/>
          <w:b/>
          <w:bCs/>
          <w:szCs w:val="30"/>
          <w:highlight w:val="none"/>
        </w:rPr>
        <w:t>受让主体成交电量和价格：</w:t>
      </w:r>
      <w:r>
        <w:rPr>
          <w:rFonts w:hint="default" w:ascii="Times New Roman" w:hAnsi="Times New Roman" w:cs="Times New Roman"/>
          <w:szCs w:val="30"/>
          <w:highlight w:val="none"/>
        </w:rPr>
        <w:t>受让主体成交电量、价格分别由成交电量、价格按照省间、省内核定线损、输电费和线损电费分别折算受让主体申报关口。</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88" w:name="_Toc88663459"/>
      <w:bookmarkStart w:id="89" w:name="_Toc2657"/>
      <w:r>
        <w:rPr>
          <w:rFonts w:hint="default" w:ascii="Times New Roman" w:hAnsi="Times New Roman" w:eastAsia="黑体" w:cs="Times New Roman"/>
          <w:szCs w:val="30"/>
          <w:highlight w:val="none"/>
        </w:rPr>
        <w:t>年度/月度发电合同转让交易（挂牌）</w:t>
      </w:r>
      <w:bookmarkEnd w:id="88"/>
      <w:bookmarkEnd w:id="89"/>
    </w:p>
    <w:p>
      <w:pPr>
        <w:pageBreakBefore w:val="0"/>
        <w:widowControl w:val="0"/>
        <w:numPr>
          <w:ilvl w:val="0"/>
          <w:numId w:val="32"/>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发电合同。</w:t>
      </w:r>
    </w:p>
    <w:p>
      <w:pPr>
        <w:pageBreakBefore w:val="0"/>
        <w:widowControl w:val="0"/>
        <w:numPr>
          <w:ilvl w:val="0"/>
          <w:numId w:val="32"/>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32"/>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受电省区发电企业</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送电省区发电企业、点对网送电电厂</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eastAsia="仿宋_GB2312" w:cs="Times New Roman"/>
          <w:b/>
          <w:bCs/>
          <w:szCs w:val="30"/>
          <w:highlight w:val="none"/>
          <w:lang w:eastAsia="zh-CN"/>
        </w:rPr>
      </w:pPr>
      <w:r>
        <w:rPr>
          <w:rFonts w:hint="default" w:ascii="Times New Roman" w:hAnsi="Times New Roman" w:cs="Times New Roman"/>
          <w:b/>
          <w:bCs/>
          <w:szCs w:val="30"/>
          <w:highlight w:val="none"/>
        </w:rPr>
        <w:t>输电主体：</w:t>
      </w:r>
      <w:r>
        <w:rPr>
          <w:rFonts w:hint="default" w:ascii="Times New Roman" w:hAnsi="Times New Roman" w:cs="Times New Roman"/>
          <w:b w:val="0"/>
          <w:bCs w:val="0"/>
          <w:szCs w:val="30"/>
          <w:highlight w:val="none"/>
        </w:rPr>
        <w:t>超高压公司，</w:t>
      </w:r>
      <w:r>
        <w:rPr>
          <w:rFonts w:hint="default" w:ascii="Times New Roman" w:hAnsi="Times New Roman" w:cs="Times New Roman"/>
          <w:b w:val="0"/>
          <w:bCs w:val="0"/>
          <w:szCs w:val="30"/>
          <w:highlight w:val="none"/>
          <w:lang w:eastAsia="zh-CN"/>
        </w:rPr>
        <w:t>相关电网公司</w:t>
      </w:r>
    </w:p>
    <w:p>
      <w:pPr>
        <w:pageBreakBefore w:val="0"/>
        <w:widowControl w:val="0"/>
        <w:numPr>
          <w:ilvl w:val="0"/>
          <w:numId w:val="32"/>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交易关口：</w:t>
      </w:r>
      <w:r>
        <w:rPr>
          <w:rFonts w:hint="default" w:ascii="Times New Roman" w:hAnsi="Times New Roman" w:cs="Times New Roman"/>
          <w:b w:val="0"/>
          <w:bCs w:val="0"/>
          <w:color w:val="000000"/>
          <w:szCs w:val="30"/>
          <w:highlight w:val="none"/>
          <w:lang w:eastAsia="zh-CN"/>
        </w:rPr>
        <w:t>原则上为</w:t>
      </w:r>
      <w:r>
        <w:rPr>
          <w:rFonts w:hint="default" w:ascii="Times New Roman" w:hAnsi="Times New Roman" w:cs="Times New Roman"/>
          <w:color w:val="000000"/>
          <w:szCs w:val="30"/>
          <w:highlight w:val="none"/>
        </w:rPr>
        <w:t>受电省区电网企业与超高压公司之间的计量关口</w:t>
      </w:r>
      <w:r>
        <w:rPr>
          <w:rFonts w:hint="default" w:ascii="Times New Roman" w:hAnsi="Times New Roman" w:cs="Times New Roman"/>
          <w:color w:val="000000"/>
          <w:szCs w:val="30"/>
          <w:highlight w:val="none"/>
          <w:lang w:eastAsia="zh-CN"/>
        </w:rPr>
        <w:t>，具体在交易公告中明确</w:t>
      </w:r>
      <w:r>
        <w:rPr>
          <w:rFonts w:hint="default" w:ascii="Times New Roman" w:hAnsi="Times New Roman" w:cs="Times New Roman"/>
          <w:color w:val="000000"/>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val="0"/>
          <w:bCs w:val="0"/>
          <w:color w:val="000000"/>
          <w:szCs w:val="30"/>
          <w:highlight w:val="none"/>
          <w:lang w:eastAsia="zh-CN"/>
        </w:rPr>
        <w:t>交易关口侧的成交电量、价格应分别考虑输电损耗、输配电价（含线损）、政府基金及附加后折算到购电侧和售电侧，作为</w:t>
      </w:r>
      <w:r>
        <w:rPr>
          <w:rFonts w:hint="default" w:ascii="Times New Roman" w:hAnsi="Times New Roman" w:cs="Times New Roman"/>
          <w:b w:val="0"/>
          <w:bCs w:val="0"/>
          <w:color w:val="000000"/>
          <w:szCs w:val="30"/>
          <w:highlight w:val="none"/>
          <w:lang w:val="en-US" w:eastAsia="zh-CN"/>
        </w:rPr>
        <w:t>出让</w:t>
      </w:r>
      <w:r>
        <w:rPr>
          <w:rFonts w:hint="default" w:ascii="Times New Roman" w:hAnsi="Times New Roman" w:cs="Times New Roman"/>
          <w:b w:val="0"/>
          <w:bCs w:val="0"/>
          <w:color w:val="000000"/>
          <w:szCs w:val="30"/>
          <w:highlight w:val="none"/>
          <w:lang w:eastAsia="zh-CN"/>
        </w:rPr>
        <w:t>主体和</w:t>
      </w:r>
      <w:r>
        <w:rPr>
          <w:rFonts w:hint="default" w:ascii="Times New Roman" w:hAnsi="Times New Roman" w:cs="Times New Roman"/>
          <w:b w:val="0"/>
          <w:bCs w:val="0"/>
          <w:color w:val="000000"/>
          <w:szCs w:val="30"/>
          <w:highlight w:val="none"/>
          <w:lang w:val="en-US" w:eastAsia="zh-CN"/>
        </w:rPr>
        <w:t>受让</w:t>
      </w:r>
      <w:r>
        <w:rPr>
          <w:rFonts w:hint="default" w:ascii="Times New Roman" w:hAnsi="Times New Roman" w:cs="Times New Roman"/>
          <w:b w:val="0"/>
          <w:bCs w:val="0"/>
          <w:color w:val="000000"/>
          <w:szCs w:val="30"/>
          <w:highlight w:val="none"/>
          <w:lang w:eastAsia="zh-CN"/>
        </w:rPr>
        <w:t>主体成交电量和价格</w:t>
      </w:r>
      <w:r>
        <w:rPr>
          <w:rFonts w:hint="default" w:ascii="Times New Roman" w:hAnsi="Times New Roman" w:cs="Times New Roman"/>
          <w:color w:val="000000"/>
          <w:szCs w:val="30"/>
          <w:highlight w:val="none"/>
        </w:rPr>
        <w:t>。</w:t>
      </w:r>
    </w:p>
    <w:p>
      <w:pPr>
        <w:pageBreakBefore w:val="0"/>
        <w:widowControl w:val="0"/>
        <w:numPr>
          <w:ilvl w:val="0"/>
          <w:numId w:val="32"/>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交易方式：</w:t>
      </w:r>
      <w:r>
        <w:rPr>
          <w:rFonts w:hint="default" w:ascii="Times New Roman" w:hAnsi="Times New Roman" w:cs="Times New Roman"/>
          <w:color w:val="000000"/>
          <w:szCs w:val="30"/>
          <w:highlight w:val="none"/>
        </w:rPr>
        <w:t>挂牌交易</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可采用</w:t>
      </w:r>
      <w:r>
        <w:rPr>
          <w:rFonts w:hint="default" w:ascii="Times New Roman" w:hAnsi="Times New Roman" w:cs="Times New Roman"/>
          <w:color w:val="000000"/>
          <w:szCs w:val="30"/>
          <w:highlight w:val="none"/>
          <w:lang w:eastAsia="zh-CN"/>
        </w:rPr>
        <w:t>交易系统根据出让（受让）</w:t>
      </w:r>
      <w:r>
        <w:rPr>
          <w:rFonts w:hint="default" w:ascii="Times New Roman" w:hAnsi="Times New Roman" w:cs="Times New Roman"/>
          <w:color w:val="000000"/>
          <w:szCs w:val="30"/>
          <w:highlight w:val="none"/>
        </w:rPr>
        <w:t>主体</w:t>
      </w:r>
      <w:r>
        <w:rPr>
          <w:rFonts w:hint="default" w:ascii="Times New Roman" w:hAnsi="Times New Roman" w:cs="Times New Roman"/>
          <w:color w:val="000000"/>
          <w:szCs w:val="30"/>
          <w:highlight w:val="none"/>
          <w:lang w:eastAsia="zh-CN"/>
        </w:rPr>
        <w:t>自主</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受让（出让）</w:t>
      </w:r>
      <w:r>
        <w:rPr>
          <w:rFonts w:hint="default" w:ascii="Times New Roman" w:hAnsi="Times New Roman" w:cs="Times New Roman"/>
          <w:color w:val="000000"/>
          <w:szCs w:val="30"/>
          <w:highlight w:val="none"/>
        </w:rPr>
        <w:t>主体自主摘牌</w:t>
      </w:r>
      <w:r>
        <w:rPr>
          <w:rFonts w:hint="default" w:ascii="Times New Roman" w:hAnsi="Times New Roman" w:cs="Times New Roman"/>
          <w:color w:val="000000"/>
          <w:szCs w:val="30"/>
          <w:highlight w:val="none"/>
          <w:lang w:eastAsia="zh-CN"/>
        </w:rPr>
        <w:t>申报结果组织统一出清，也可由交易系统根据出让、受让主体挂牌价格滚动撮合出清。具体在交易公告中明确。</w:t>
      </w:r>
    </w:p>
    <w:p>
      <w:pPr>
        <w:pageBreakBefore w:val="0"/>
        <w:widowControl w:val="0"/>
        <w:numPr>
          <w:ilvl w:val="0"/>
          <w:numId w:val="32"/>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交易申报：</w:t>
      </w:r>
      <w:r>
        <w:rPr>
          <w:rFonts w:hint="default" w:ascii="Times New Roman" w:hAnsi="Times New Roman" w:cs="Times New Roman"/>
          <w:b w:val="0"/>
          <w:bCs w:val="0"/>
          <w:color w:val="000000"/>
          <w:szCs w:val="30"/>
          <w:highlight w:val="none"/>
          <w:lang w:eastAsia="zh-CN"/>
        </w:rPr>
        <w:t>挂牌的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应自主申报交易电量、价格等挂牌信息，摘牌的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自主申报摘牌电量、价格等信息，交易曲线在交易公告中明确。</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申报电量、申报价格应分别考虑输电损耗、输配电价（含线损）、政府基金及附加后统一折算到约定的交易关口，形成折算后的出让主体和受让主体申报信息。统一出清方式下，</w:t>
      </w:r>
      <w:r>
        <w:rPr>
          <w:rFonts w:hint="default" w:ascii="Times New Roman" w:hAnsi="Times New Roman" w:cs="Times New Roman"/>
          <w:color w:val="000000"/>
          <w:szCs w:val="30"/>
          <w:highlight w:val="none"/>
        </w:rPr>
        <w:t>当存在多个挂牌方时，某一摘牌方可分别向各挂牌方自主申报摘牌电量。该摘牌方总申报摘牌电量不能超过自身发用电能力约束。</w:t>
      </w:r>
    </w:p>
    <w:p>
      <w:pPr>
        <w:pageBreakBefore w:val="0"/>
        <w:widowControl w:val="0"/>
        <w:numPr>
          <w:ilvl w:val="0"/>
          <w:numId w:val="32"/>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bCs/>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eastAsia="仿宋_GB2312" w:cs="Times New Roman"/>
          <w:color w:val="000000"/>
          <w:szCs w:val="30"/>
          <w:highlight w:val="none"/>
          <w:lang w:val="en-US" w:eastAsia="zh-CN"/>
        </w:rPr>
      </w:pPr>
      <w:r>
        <w:rPr>
          <w:rFonts w:hint="default" w:ascii="Times New Roman" w:hAnsi="Times New Roman" w:cs="Times New Roman"/>
          <w:color w:val="000000"/>
          <w:szCs w:val="30"/>
          <w:highlight w:val="none"/>
          <w:lang w:val="en-US" w:eastAsia="zh-CN"/>
        </w:rPr>
        <w:t>挂牌交易可以采用统一出清和滚动撮合两种出清方式。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1</w:t>
      </w:r>
      <w:r>
        <w:rPr>
          <w:rFonts w:hint="default" w:ascii="Times New Roman" w:hAnsi="Times New Roman" w:cs="Times New Roman"/>
          <w:color w:val="000000"/>
          <w:szCs w:val="30"/>
          <w:highlight w:val="none"/>
          <w:lang w:eastAsia="zh-CN"/>
        </w:rPr>
        <w:t>）统一出清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广州电力交易中心汇总交易期间</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挂牌及摘牌结果，统一进行出清。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rPr>
        <w:t>当某一挂牌方的总摘牌电量大于其挂牌电量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时，按</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摘牌</w:t>
      </w:r>
      <w:r>
        <w:rPr>
          <w:rFonts w:hint="default" w:ascii="Times New Roman" w:hAnsi="Times New Roman" w:cs="Times New Roman"/>
          <w:color w:val="000000"/>
          <w:szCs w:val="30"/>
          <w:highlight w:val="none"/>
        </w:rPr>
        <w:t>电量所占比例等</w:t>
      </w:r>
      <w:r>
        <w:rPr>
          <w:rFonts w:hint="default" w:ascii="Times New Roman" w:hAnsi="Times New Roman" w:cs="Times New Roman"/>
          <w:color w:val="000000"/>
          <w:szCs w:val="30"/>
          <w:highlight w:val="none"/>
          <w:lang w:eastAsia="zh-CN"/>
        </w:rPr>
        <w:t>比例调减</w:t>
      </w:r>
      <w:r>
        <w:rPr>
          <w:rFonts w:hint="default" w:ascii="Times New Roman" w:hAnsi="Times New Roman" w:cs="Times New Roman"/>
          <w:color w:val="000000"/>
          <w:szCs w:val="30"/>
          <w:highlight w:val="none"/>
        </w:rPr>
        <w:t>；当总摘牌电量小于或等于挂牌电量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经安全校核后</w:t>
      </w:r>
      <w:r>
        <w:rPr>
          <w:rFonts w:hint="default" w:ascii="Times New Roman" w:hAnsi="Times New Roman" w:cs="Times New Roman"/>
          <w:color w:val="000000"/>
          <w:szCs w:val="30"/>
          <w:highlight w:val="none"/>
        </w:rPr>
        <w:t>摘牌电量即为成交电量。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eastAsia="仿宋_GB2312" w:cs="Times New Roman"/>
          <w:color w:val="000000"/>
          <w:szCs w:val="30"/>
          <w:highlight w:val="none"/>
          <w:lang w:eastAsia="zh-CN"/>
        </w:rPr>
      </w:pPr>
      <w:r>
        <w:rPr>
          <w:rFonts w:hint="default" w:ascii="Times New Roman" w:hAnsi="Times New Roman" w:cs="Times New Roman"/>
          <w:b/>
          <w:bCs/>
          <w:color w:val="000000"/>
          <w:szCs w:val="30"/>
          <w:highlight w:val="none"/>
          <w:lang w:eastAsia="zh-CN"/>
        </w:rPr>
        <w:t>成交价格</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挂牌价格即为成交价格</w:t>
      </w:r>
      <w:r>
        <w:rPr>
          <w:rFonts w:hint="default" w:ascii="Times New Roman" w:hAnsi="Times New Roman" w:cs="Times New Roman"/>
          <w:color w:val="000000"/>
          <w:szCs w:val="30"/>
          <w:highlight w:val="none"/>
          <w:lang w:eastAsia="zh-CN"/>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2</w:t>
      </w:r>
      <w:r>
        <w:rPr>
          <w:rFonts w:hint="default" w:ascii="Times New Roman" w:hAnsi="Times New Roman" w:cs="Times New Roman"/>
          <w:color w:val="000000"/>
          <w:szCs w:val="30"/>
          <w:highlight w:val="none"/>
          <w:lang w:eastAsia="zh-CN"/>
        </w:rPr>
        <w:t>）滚动撮合出清</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实时建立</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受让主体</w:t>
      </w:r>
      <w:r>
        <w:rPr>
          <w:rFonts w:hint="default" w:ascii="Times New Roman" w:hAnsi="Times New Roman" w:cs="Times New Roman"/>
          <w:color w:val="000000"/>
          <w:szCs w:val="30"/>
          <w:highlight w:val="none"/>
        </w:rPr>
        <w:t>挂牌两个队列，将</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挂牌电量按挂牌价从高到低排列，将</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挂牌电量按挂牌价从低到高排列，价格相同时按申报时间较早者优先排列。交易系统接收到</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rPr>
        <w:t>提交的新增挂牌时，则实时动态刷新队列。交易系统按照价格优先、时间优先的原则，自动撮合</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挂牌价高于或等于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挂牌价的电量成交：较高的</w:t>
      </w:r>
      <w:r>
        <w:rPr>
          <w:rFonts w:hint="default" w:ascii="Times New Roman" w:hAnsi="Times New Roman" w:cs="Times New Roman"/>
          <w:color w:val="000000"/>
          <w:szCs w:val="30"/>
          <w:highlight w:val="none"/>
          <w:lang w:eastAsia="zh-CN"/>
        </w:rPr>
        <w:t>出让挂</w:t>
      </w:r>
      <w:r>
        <w:rPr>
          <w:rFonts w:hint="default" w:ascii="Times New Roman" w:hAnsi="Times New Roman" w:cs="Times New Roman"/>
          <w:color w:val="000000"/>
          <w:szCs w:val="30"/>
          <w:highlight w:val="none"/>
        </w:rPr>
        <w:t>牌价优先成交，较低的</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价</w:t>
      </w:r>
      <w:r>
        <w:rPr>
          <w:rFonts w:hint="default" w:ascii="Times New Roman" w:hAnsi="Times New Roman" w:cs="Times New Roman"/>
          <w:color w:val="000000"/>
          <w:szCs w:val="30"/>
          <w:highlight w:val="none"/>
        </w:rPr>
        <w:t>优先成交；买卖方向相同、价格相同时，先挂牌者优先成交。</w:t>
      </w:r>
      <w:r>
        <w:rPr>
          <w:rFonts w:hint="default" w:ascii="Times New Roman" w:hAnsi="Times New Roman" w:cs="Times New Roman"/>
          <w:color w:val="000000"/>
          <w:szCs w:val="30"/>
          <w:highlight w:val="none"/>
          <w:lang w:val="en-US" w:eastAsia="zh-CN"/>
        </w:rPr>
        <w:t>当</w:t>
      </w:r>
      <w:r>
        <w:rPr>
          <w:rFonts w:hint="default" w:ascii="Times New Roman" w:hAnsi="Times New Roman" w:cs="Times New Roman"/>
          <w:color w:val="000000"/>
          <w:szCs w:val="30"/>
          <w:highlight w:val="none"/>
          <w:lang w:eastAsia="zh-CN"/>
        </w:rPr>
        <w:t>实时撮合出清</w:t>
      </w:r>
      <w:r>
        <w:rPr>
          <w:rFonts w:hint="default" w:ascii="Times New Roman" w:hAnsi="Times New Roman" w:cs="Times New Roman"/>
          <w:color w:val="000000"/>
          <w:szCs w:val="30"/>
          <w:highlight w:val="none"/>
          <w:lang w:val="en-US" w:eastAsia="zh-CN"/>
        </w:rPr>
        <w:t>的电量达到</w:t>
      </w:r>
      <w:r>
        <w:rPr>
          <w:rFonts w:hint="default" w:ascii="Times New Roman" w:hAnsi="Times New Roman" w:cs="Times New Roman"/>
          <w:color w:val="000000"/>
          <w:szCs w:val="30"/>
          <w:highlight w:val="none"/>
        </w:rPr>
        <w:t>交易规模</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，挂牌交易自动结束，最后一笔</w:t>
      </w:r>
      <w:r>
        <w:rPr>
          <w:rFonts w:hint="default" w:ascii="Times New Roman" w:hAnsi="Times New Roman" w:cs="Times New Roman"/>
          <w:color w:val="000000"/>
          <w:szCs w:val="30"/>
          <w:highlight w:val="none"/>
          <w:lang w:val="en-US" w:eastAsia="zh-CN"/>
        </w:rPr>
        <w:t>成交</w:t>
      </w:r>
      <w:r>
        <w:rPr>
          <w:rFonts w:hint="default" w:ascii="Times New Roman" w:hAnsi="Times New Roman" w:cs="Times New Roman"/>
          <w:color w:val="000000"/>
          <w:szCs w:val="30"/>
          <w:highlight w:val="none"/>
          <w:lang w:eastAsia="zh-CN"/>
        </w:rPr>
        <w:t>电量由剩余可交易规模确定</w:t>
      </w:r>
      <w:r>
        <w:rPr>
          <w:rFonts w:hint="default" w:ascii="Times New Roman" w:hAnsi="Times New Roman" w:cs="Times New Roman"/>
          <w:color w:val="000000"/>
          <w:szCs w:val="30"/>
          <w:highlight w:val="none"/>
        </w:rPr>
        <w:t>。</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lang w:eastAsia="zh-CN"/>
        </w:rPr>
        <w:t>：系统撮合成交的每一对出让挂牌电量、受让挂牌电量二者中较小者。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成交电价</w:t>
      </w:r>
      <w:r>
        <w:rPr>
          <w:rFonts w:hint="default" w:ascii="Times New Roman" w:hAnsi="Times New Roman" w:cs="Times New Roman"/>
          <w:b w:val="0"/>
          <w:bCs w:val="0"/>
          <w:color w:val="000000"/>
          <w:szCs w:val="30"/>
          <w:highlight w:val="none"/>
          <w:lang w:eastAsia="zh-CN"/>
        </w:rPr>
        <w:t>：</w:t>
      </w:r>
      <w:r>
        <w:rPr>
          <w:rFonts w:hint="default" w:ascii="Times New Roman" w:hAnsi="Times New Roman" w:cs="Times New Roman"/>
          <w:color w:val="000000"/>
          <w:szCs w:val="30"/>
          <w:highlight w:val="none"/>
        </w:rPr>
        <w:t>当最高</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挂牌价与最低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挂牌价相同时，以该价格为成交价。当</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挂牌价高于实时的最低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挂牌价时，取实时发布的最低</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挂牌价为其成交价。当</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挂牌价低于实时的最高</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挂牌价时，取实时发布的最高</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挂牌价为其成交价。</w:t>
      </w:r>
    </w:p>
    <w:p>
      <w:pPr>
        <w:pageBreakBefore w:val="0"/>
        <w:widowControl w:val="0"/>
        <w:numPr>
          <w:ilvl w:val="0"/>
          <w:numId w:val="0"/>
        </w:numPr>
        <w:tabs>
          <w:tab w:val="left" w:pos="604"/>
          <w:tab w:val="left" w:pos="1429"/>
        </w:tabs>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val="0"/>
          <w:bCs w:val="0"/>
          <w:color w:val="000000"/>
          <w:szCs w:val="30"/>
          <w:highlight w:val="none"/>
          <w:lang w:eastAsia="zh-CN"/>
        </w:rPr>
        <w:t>交易关口侧的成交电量、价格应分别考虑输电损耗、输配电价（含线损）、政府基金及附加后折算到出让侧和受让侧，作为</w:t>
      </w:r>
      <w:r>
        <w:rPr>
          <w:rFonts w:hint="default" w:ascii="Times New Roman" w:hAnsi="Times New Roman" w:cs="Times New Roman"/>
          <w:b w:val="0"/>
          <w:bCs w:val="0"/>
          <w:color w:val="000000"/>
          <w:szCs w:val="30"/>
          <w:highlight w:val="none"/>
          <w:lang w:val="en-US" w:eastAsia="zh-CN"/>
        </w:rPr>
        <w:t>出让</w:t>
      </w:r>
      <w:r>
        <w:rPr>
          <w:rFonts w:hint="default" w:ascii="Times New Roman" w:hAnsi="Times New Roman" w:cs="Times New Roman"/>
          <w:b w:val="0"/>
          <w:bCs w:val="0"/>
          <w:color w:val="000000"/>
          <w:szCs w:val="30"/>
          <w:highlight w:val="none"/>
          <w:lang w:eastAsia="zh-CN"/>
        </w:rPr>
        <w:t>主体和</w:t>
      </w:r>
      <w:r>
        <w:rPr>
          <w:rFonts w:hint="default" w:ascii="Times New Roman" w:hAnsi="Times New Roman" w:cs="Times New Roman"/>
          <w:b w:val="0"/>
          <w:bCs w:val="0"/>
          <w:color w:val="000000"/>
          <w:szCs w:val="30"/>
          <w:highlight w:val="none"/>
          <w:lang w:val="en-US" w:eastAsia="zh-CN"/>
        </w:rPr>
        <w:t>受让</w:t>
      </w:r>
      <w:r>
        <w:rPr>
          <w:rFonts w:hint="default" w:ascii="Times New Roman" w:hAnsi="Times New Roman" w:cs="Times New Roman"/>
          <w:b w:val="0"/>
          <w:bCs w:val="0"/>
          <w:color w:val="000000"/>
          <w:szCs w:val="30"/>
          <w:highlight w:val="none"/>
          <w:lang w:eastAsia="zh-CN"/>
        </w:rPr>
        <w:t>主体成交电量和价格</w:t>
      </w:r>
      <w:r>
        <w:rPr>
          <w:rFonts w:hint="default" w:ascii="Times New Roman" w:hAnsi="Times New Roman" w:cs="Times New Roman"/>
          <w:color w:val="000000"/>
          <w:szCs w:val="30"/>
          <w:highlight w:val="none"/>
        </w:rPr>
        <w:t>。</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90" w:name="_Toc88663460"/>
      <w:bookmarkStart w:id="91" w:name="_Toc7594"/>
      <w:r>
        <w:rPr>
          <w:rFonts w:hint="default" w:ascii="Times New Roman" w:hAnsi="Times New Roman" w:eastAsia="黑体" w:cs="Times New Roman"/>
          <w:szCs w:val="30"/>
          <w:highlight w:val="none"/>
        </w:rPr>
        <w:t>年度/月度用电合同转让交易（协商）</w:t>
      </w:r>
      <w:bookmarkEnd w:id="90"/>
      <w:bookmarkEnd w:id="91"/>
    </w:p>
    <w:p>
      <w:pPr>
        <w:pageBreakBefore w:val="0"/>
        <w:widowControl w:val="0"/>
        <w:numPr>
          <w:ilvl w:val="0"/>
          <w:numId w:val="3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用电合同。</w:t>
      </w:r>
    </w:p>
    <w:p>
      <w:pPr>
        <w:pageBreakBefore w:val="0"/>
        <w:widowControl w:val="0"/>
        <w:numPr>
          <w:ilvl w:val="0"/>
          <w:numId w:val="3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3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同一受电省区售电公司、电力用户</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同一受电省区售电公司、电力用户</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超高压公司，送端、受端电网</w:t>
      </w:r>
    </w:p>
    <w:p>
      <w:pPr>
        <w:pageBreakBefore w:val="0"/>
        <w:widowControl w:val="0"/>
        <w:numPr>
          <w:ilvl w:val="0"/>
          <w:numId w:val="3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3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协商交易：出让主体申报，受让主体确认</w:t>
      </w:r>
    </w:p>
    <w:p>
      <w:pPr>
        <w:pageBreakBefore w:val="0"/>
        <w:widowControl w:val="0"/>
        <w:numPr>
          <w:ilvl w:val="0"/>
          <w:numId w:val="3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33"/>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相关</w:t>
      </w:r>
      <w:r>
        <w:rPr>
          <w:rFonts w:hint="eastAsia" w:cs="Times New Roman"/>
          <w:szCs w:val="30"/>
          <w:highlight w:val="none"/>
          <w:lang w:eastAsia="zh-CN"/>
        </w:rPr>
        <w:t>经营主体</w:t>
      </w:r>
      <w:r>
        <w:rPr>
          <w:rFonts w:hint="default" w:ascii="Times New Roman" w:hAnsi="Times New Roman" w:cs="Times New Roman"/>
          <w:szCs w:val="30"/>
          <w:highlight w:val="none"/>
        </w:rPr>
        <w:t>协商一致后，在广州电力交易中心，由出让主体申报，受让主体确认增送电量。广州电力交易中心进行交易出清。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出让主体总申报折算电量未超过交易规模时，申报折算电量即为成交电量。若出让主体总申报折算电量超过交易规模时，按申报折算电量比例成交。</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出让主体申报折算价格即为成交价格。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出让主体成交电量和价格：</w:t>
      </w:r>
      <w:r>
        <w:rPr>
          <w:rFonts w:hint="default" w:ascii="Times New Roman" w:hAnsi="Times New Roman" w:cs="Times New Roman"/>
          <w:szCs w:val="30"/>
          <w:highlight w:val="none"/>
        </w:rPr>
        <w:t>出让主体成交电量、价格即为成交电量、价格。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受让主体成交电量和价格：</w:t>
      </w:r>
      <w:r>
        <w:rPr>
          <w:rFonts w:hint="default" w:ascii="Times New Roman" w:hAnsi="Times New Roman" w:cs="Times New Roman"/>
          <w:szCs w:val="30"/>
          <w:highlight w:val="none"/>
        </w:rPr>
        <w:t>受让主体成交电量、价格即为成交电量、价格。</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92" w:name="_Toc88663461"/>
      <w:bookmarkStart w:id="93" w:name="_Toc10881"/>
      <w:r>
        <w:rPr>
          <w:rFonts w:hint="default" w:ascii="Times New Roman" w:hAnsi="Times New Roman" w:eastAsia="黑体" w:cs="Times New Roman"/>
          <w:szCs w:val="30"/>
          <w:highlight w:val="none"/>
        </w:rPr>
        <w:t>年度/月度用电合同转让交易（竞价）</w:t>
      </w:r>
      <w:bookmarkEnd w:id="92"/>
      <w:bookmarkEnd w:id="93"/>
    </w:p>
    <w:p>
      <w:pPr>
        <w:pageBreakBefore w:val="0"/>
        <w:widowControl w:val="0"/>
        <w:numPr>
          <w:ilvl w:val="0"/>
          <w:numId w:val="3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用电合同。</w:t>
      </w:r>
    </w:p>
    <w:p>
      <w:pPr>
        <w:pageBreakBefore w:val="0"/>
        <w:widowControl w:val="0"/>
        <w:numPr>
          <w:ilvl w:val="0"/>
          <w:numId w:val="3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3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同一受电省区售电公司、电力用户</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同一受电省区售电公司、电力用户</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输电主体：</w:t>
      </w:r>
      <w:r>
        <w:rPr>
          <w:rFonts w:hint="default" w:ascii="Times New Roman" w:hAnsi="Times New Roman" w:cs="Times New Roman"/>
          <w:szCs w:val="30"/>
          <w:highlight w:val="none"/>
        </w:rPr>
        <w:t>超高压公司，送端、受端电网</w:t>
      </w:r>
    </w:p>
    <w:p>
      <w:pPr>
        <w:pageBreakBefore w:val="0"/>
        <w:widowControl w:val="0"/>
        <w:numPr>
          <w:ilvl w:val="0"/>
          <w:numId w:val="3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交易关口：</w:t>
      </w:r>
      <w:r>
        <w:rPr>
          <w:rFonts w:hint="eastAsia" w:cs="Times New Roman"/>
          <w:b w:val="0"/>
          <w:bCs w:val="0"/>
          <w:szCs w:val="30"/>
          <w:highlight w:val="none"/>
          <w:lang w:eastAsia="zh-CN"/>
        </w:rPr>
        <w:t>原则上为</w:t>
      </w:r>
      <w:r>
        <w:rPr>
          <w:rFonts w:hint="default" w:ascii="Times New Roman" w:hAnsi="Times New Roman" w:cs="Times New Roman"/>
          <w:szCs w:val="30"/>
          <w:highlight w:val="none"/>
        </w:rPr>
        <w:t>受电省区电网企业与超高压公司之间的计量关口。</w:t>
      </w:r>
    </w:p>
    <w:p>
      <w:pPr>
        <w:pageBreakBefore w:val="0"/>
        <w:widowControl w:val="0"/>
        <w:numPr>
          <w:ilvl w:val="0"/>
          <w:numId w:val="3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交易方式：</w:t>
      </w:r>
      <w:r>
        <w:rPr>
          <w:rFonts w:hint="default" w:ascii="Times New Roman" w:hAnsi="Times New Roman" w:cs="Times New Roman"/>
          <w:szCs w:val="30"/>
          <w:highlight w:val="none"/>
        </w:rPr>
        <w:t>竞价交易：统一边际出清。</w:t>
      </w:r>
    </w:p>
    <w:p>
      <w:pPr>
        <w:pageBreakBefore w:val="0"/>
        <w:widowControl w:val="0"/>
        <w:numPr>
          <w:ilvl w:val="0"/>
          <w:numId w:val="3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交易申报：</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申报电量、价格为申报关口的电量和价格，其中申报关口与交易关口为同一关口。</w:t>
      </w:r>
    </w:p>
    <w:p>
      <w:pPr>
        <w:pageBreakBefore w:val="0"/>
        <w:widowControl w:val="0"/>
        <w:numPr>
          <w:ilvl w:val="0"/>
          <w:numId w:val="34"/>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交易出清：</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当受让折算价格</w:t>
      </w:r>
      <w:r>
        <w:rPr>
          <w:rFonts w:hint="eastAsia" w:cs="Times New Roman"/>
          <w:szCs w:val="30"/>
          <w:highlight w:val="none"/>
          <w:lang w:val="en-US" w:eastAsia="zh-CN"/>
        </w:rPr>
        <w:t>小</w:t>
      </w:r>
      <w:r>
        <w:rPr>
          <w:rFonts w:hint="default" w:ascii="Times New Roman" w:hAnsi="Times New Roman" w:cs="Times New Roman"/>
          <w:szCs w:val="30"/>
          <w:highlight w:val="none"/>
        </w:rPr>
        <w:t>于出让折算价格时可成交。按照受让折算价格减去出让折算价格的价差大小依次成交。</w:t>
      </w:r>
    </w:p>
    <w:p>
      <w:pPr>
        <w:pageBreakBefore w:val="0"/>
        <w:widowControl w:val="0"/>
        <w:kinsoku/>
        <w:wordWrap/>
        <w:overflowPunct w:val="0"/>
        <w:topLinePunct w:val="0"/>
        <w:autoSpaceDE/>
        <w:autoSpaceDN/>
        <w:bidi w:val="0"/>
        <w:adjustRightInd/>
        <w:snapToGrid w:val="0"/>
        <w:spacing w:line="560" w:lineRule="exact"/>
        <w:ind w:left="709" w:firstLine="600" w:firstLineChars="200"/>
        <w:textAlignment w:val="auto"/>
        <w:rPr>
          <w:rFonts w:hint="default" w:ascii="Times New Roman" w:hAnsi="Times New Roman" w:cs="Times New Roman"/>
          <w:szCs w:val="30"/>
          <w:highlight w:val="none"/>
        </w:rPr>
      </w:pPr>
      <w:r>
        <w:rPr>
          <w:rFonts w:hint="default" w:ascii="Times New Roman" w:hAnsi="Times New Roman" w:cs="Times New Roman"/>
          <w:szCs w:val="30"/>
          <w:highlight w:val="none"/>
        </w:rPr>
        <w:t>当总可成交规模超过交易规模时，或受让折算价格减去出让折算价格的价差为负时，交易结束。</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成交电量和价格：</w:t>
      </w:r>
      <w:r>
        <w:rPr>
          <w:rFonts w:hint="default" w:ascii="Times New Roman" w:hAnsi="Times New Roman" w:cs="Times New Roman"/>
          <w:szCs w:val="30"/>
          <w:highlight w:val="none"/>
        </w:rPr>
        <w:t>成交电量为出让折算电量与受让折算电量的较小值。成交价格为出让折算价格与受让折算价格的平均值。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出让主体成交电量和价格：</w:t>
      </w:r>
      <w:r>
        <w:rPr>
          <w:rFonts w:hint="default" w:ascii="Times New Roman" w:hAnsi="Times New Roman" w:cs="Times New Roman"/>
          <w:szCs w:val="30"/>
          <w:highlight w:val="none"/>
        </w:rPr>
        <w:t>出让主体成交电量、价格即为成交电量、价格。</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rPr>
        <w:t>受让主体成交电量和价格：</w:t>
      </w:r>
      <w:r>
        <w:rPr>
          <w:rFonts w:hint="default" w:ascii="Times New Roman" w:hAnsi="Times New Roman" w:cs="Times New Roman"/>
          <w:szCs w:val="30"/>
          <w:highlight w:val="none"/>
        </w:rPr>
        <w:t>受让主体成交电量、价格即为成交电量、价格。</w:t>
      </w:r>
    </w:p>
    <w:p>
      <w:pPr>
        <w:keepNext/>
        <w:keepLines/>
        <w:pageBreakBefore w:val="0"/>
        <w:widowControl w:val="0"/>
        <w:numPr>
          <w:ilvl w:val="0"/>
          <w:numId w:val="16"/>
        </w:numPr>
        <w:kinsoku/>
        <w:wordWrap/>
        <w:topLinePunct w:val="0"/>
        <w:autoSpaceDE/>
        <w:autoSpaceDN/>
        <w:bidi w:val="0"/>
        <w:adjustRightInd/>
        <w:spacing w:beforeLines="50" w:afterLines="50" w:line="560" w:lineRule="exact"/>
        <w:ind w:firstLine="600" w:firstLineChars="200"/>
        <w:textAlignment w:val="auto"/>
        <w:outlineLvl w:val="0"/>
        <w:rPr>
          <w:rFonts w:hint="default" w:ascii="Times New Roman" w:hAnsi="Times New Roman" w:eastAsia="黑体" w:cs="Times New Roman"/>
          <w:szCs w:val="30"/>
          <w:highlight w:val="none"/>
        </w:rPr>
      </w:pPr>
      <w:bookmarkStart w:id="94" w:name="_Toc11931"/>
      <w:bookmarkStart w:id="95" w:name="_Toc88663462"/>
      <w:r>
        <w:rPr>
          <w:rFonts w:hint="default" w:ascii="Times New Roman" w:hAnsi="Times New Roman" w:eastAsia="黑体" w:cs="Times New Roman"/>
          <w:szCs w:val="30"/>
          <w:highlight w:val="none"/>
        </w:rPr>
        <w:t>年度/月度用电合同转让交易（挂牌）</w:t>
      </w:r>
      <w:bookmarkEnd w:id="94"/>
      <w:bookmarkEnd w:id="95"/>
    </w:p>
    <w:p>
      <w:pPr>
        <w:pageBreakBefore w:val="0"/>
        <w:widowControl w:val="0"/>
        <w:numPr>
          <w:ilvl w:val="0"/>
          <w:numId w:val="35"/>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交易标的：</w:t>
      </w:r>
      <w:r>
        <w:rPr>
          <w:rFonts w:hint="default" w:ascii="Times New Roman" w:hAnsi="Times New Roman" w:cs="Times New Roman"/>
          <w:szCs w:val="30"/>
          <w:highlight w:val="none"/>
        </w:rPr>
        <w:t>用电合同。</w:t>
      </w:r>
    </w:p>
    <w:p>
      <w:pPr>
        <w:pageBreakBefore w:val="0"/>
        <w:widowControl w:val="0"/>
        <w:numPr>
          <w:ilvl w:val="0"/>
          <w:numId w:val="35"/>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default" w:ascii="Times New Roman" w:hAnsi="Times New Roman" w:cs="Times New Roman"/>
          <w:b/>
          <w:bCs/>
          <w:szCs w:val="30"/>
          <w:highlight w:val="none"/>
        </w:rPr>
        <w:t>交易类型：</w:t>
      </w:r>
      <w:r>
        <w:rPr>
          <w:rFonts w:hint="default" w:ascii="Times New Roman" w:hAnsi="Times New Roman" w:cs="Times New Roman"/>
          <w:szCs w:val="30"/>
          <w:highlight w:val="none"/>
        </w:rPr>
        <w:t>转让交易。</w:t>
      </w:r>
    </w:p>
    <w:p>
      <w:pPr>
        <w:pageBreakBefore w:val="0"/>
        <w:widowControl w:val="0"/>
        <w:numPr>
          <w:ilvl w:val="0"/>
          <w:numId w:val="35"/>
        </w:numPr>
        <w:kinsoku/>
        <w:wordWrap/>
        <w:overflowPunct w:val="0"/>
        <w:topLinePunct w:val="0"/>
        <w:autoSpaceDE/>
        <w:autoSpaceDN/>
        <w:bidi w:val="0"/>
        <w:adjustRightInd/>
        <w:snapToGrid w:val="0"/>
        <w:spacing w:line="560" w:lineRule="exact"/>
        <w:ind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lang w:val="en-US" w:eastAsia="zh-CN"/>
        </w:rPr>
        <w:t>.</w:t>
      </w:r>
      <w:r>
        <w:rPr>
          <w:rFonts w:hint="eastAsia" w:cs="Times New Roman"/>
          <w:b/>
          <w:bCs/>
          <w:szCs w:val="30"/>
          <w:highlight w:val="none"/>
          <w:lang w:eastAsia="zh-CN"/>
        </w:rPr>
        <w:t>经营主体</w:t>
      </w:r>
      <w:r>
        <w:rPr>
          <w:rFonts w:hint="default" w:ascii="Times New Roman" w:hAnsi="Times New Roman" w:cs="Times New Roman"/>
          <w:b/>
          <w:bCs/>
          <w:szCs w:val="30"/>
          <w:highlight w:val="none"/>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出让主体：</w:t>
      </w:r>
      <w:r>
        <w:rPr>
          <w:rFonts w:hint="default" w:ascii="Times New Roman" w:hAnsi="Times New Roman" w:cs="Times New Roman"/>
          <w:szCs w:val="30"/>
          <w:highlight w:val="none"/>
        </w:rPr>
        <w:t>同一受电省区售电公司、电力用户</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受让主体：</w:t>
      </w:r>
      <w:r>
        <w:rPr>
          <w:rFonts w:hint="default" w:ascii="Times New Roman" w:hAnsi="Times New Roman" w:cs="Times New Roman"/>
          <w:szCs w:val="30"/>
          <w:highlight w:val="none"/>
        </w:rPr>
        <w:t>同一受电省区售电公司、电力用户</w:t>
      </w:r>
    </w:p>
    <w:p>
      <w:pPr>
        <w:pageBreakBefore w:val="0"/>
        <w:widowControl w:val="0"/>
        <w:numPr>
          <w:ilvl w:val="0"/>
          <w:numId w:val="0"/>
        </w:numPr>
        <w:kinsoku/>
        <w:wordWrap/>
        <w:overflowPunct w:val="0"/>
        <w:topLinePunct w:val="0"/>
        <w:autoSpaceDE/>
        <w:autoSpaceDN/>
        <w:bidi w:val="0"/>
        <w:adjustRightInd/>
        <w:snapToGrid w:val="0"/>
        <w:spacing w:line="560" w:lineRule="exact"/>
        <w:ind w:left="709" w:firstLine="602" w:firstLineChars="200"/>
        <w:textAlignment w:val="auto"/>
        <w:rPr>
          <w:rFonts w:hint="default" w:ascii="Times New Roman" w:hAnsi="Times New Roman" w:eastAsia="仿宋_GB2312" w:cs="Times New Roman"/>
          <w:b/>
          <w:bCs/>
          <w:szCs w:val="30"/>
          <w:highlight w:val="none"/>
          <w:lang w:eastAsia="zh-CN"/>
        </w:rPr>
      </w:pPr>
      <w:r>
        <w:rPr>
          <w:rFonts w:hint="default" w:ascii="Times New Roman" w:hAnsi="Times New Roman" w:cs="Times New Roman"/>
          <w:b/>
          <w:bCs/>
          <w:szCs w:val="30"/>
          <w:highlight w:val="none"/>
        </w:rPr>
        <w:t>输电主体：</w:t>
      </w:r>
      <w:r>
        <w:rPr>
          <w:rFonts w:hint="default" w:ascii="Times New Roman" w:hAnsi="Times New Roman" w:cs="Times New Roman"/>
          <w:b w:val="0"/>
          <w:bCs w:val="0"/>
          <w:szCs w:val="30"/>
          <w:highlight w:val="none"/>
        </w:rPr>
        <w:t>超高压公司，</w:t>
      </w:r>
      <w:r>
        <w:rPr>
          <w:rFonts w:hint="default" w:ascii="Times New Roman" w:hAnsi="Times New Roman" w:cs="Times New Roman"/>
          <w:b w:val="0"/>
          <w:bCs w:val="0"/>
          <w:szCs w:val="30"/>
          <w:highlight w:val="none"/>
          <w:lang w:eastAsia="zh-CN"/>
        </w:rPr>
        <w:t>相关电网公司</w:t>
      </w:r>
    </w:p>
    <w:p>
      <w:pPr>
        <w:pageBreakBefore w:val="0"/>
        <w:widowControl w:val="0"/>
        <w:numPr>
          <w:ilvl w:val="0"/>
          <w:numId w:val="3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交易关口：</w:t>
      </w:r>
      <w:r>
        <w:rPr>
          <w:rFonts w:hint="default" w:ascii="Times New Roman" w:hAnsi="Times New Roman" w:cs="Times New Roman"/>
          <w:b w:val="0"/>
          <w:bCs w:val="0"/>
          <w:color w:val="000000"/>
          <w:szCs w:val="30"/>
          <w:highlight w:val="none"/>
          <w:lang w:eastAsia="zh-CN"/>
        </w:rPr>
        <w:t>原则上为</w:t>
      </w:r>
      <w:r>
        <w:rPr>
          <w:rFonts w:hint="default" w:ascii="Times New Roman" w:hAnsi="Times New Roman" w:cs="Times New Roman"/>
          <w:color w:val="000000"/>
          <w:szCs w:val="30"/>
          <w:highlight w:val="none"/>
        </w:rPr>
        <w:t>受电省区电网企业与超高压公司之间的计量关口</w:t>
      </w:r>
      <w:r>
        <w:rPr>
          <w:rFonts w:hint="default" w:ascii="Times New Roman" w:hAnsi="Times New Roman" w:cs="Times New Roman"/>
          <w:color w:val="000000"/>
          <w:szCs w:val="30"/>
          <w:highlight w:val="none"/>
          <w:lang w:eastAsia="zh-CN"/>
        </w:rPr>
        <w:t>，具体在交易公告中明确</w:t>
      </w:r>
      <w:r>
        <w:rPr>
          <w:rFonts w:hint="default" w:ascii="Times New Roman" w:hAnsi="Times New Roman" w:cs="Times New Roman"/>
          <w:color w:val="000000"/>
          <w:szCs w:val="30"/>
          <w:highlight w:val="none"/>
        </w:rPr>
        <w:t>。</w:t>
      </w:r>
    </w:p>
    <w:p>
      <w:pPr>
        <w:pageBreakBefore w:val="0"/>
        <w:widowControl w:val="0"/>
        <w:numPr>
          <w:ilvl w:val="0"/>
          <w:numId w:val="3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rPr>
        <w:t>交易方式：</w:t>
      </w:r>
      <w:r>
        <w:rPr>
          <w:rFonts w:hint="default" w:ascii="Times New Roman" w:hAnsi="Times New Roman" w:cs="Times New Roman"/>
          <w:color w:val="000000"/>
          <w:szCs w:val="30"/>
          <w:highlight w:val="none"/>
        </w:rPr>
        <w:t>挂牌交易</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可采用</w:t>
      </w:r>
      <w:r>
        <w:rPr>
          <w:rFonts w:hint="default" w:ascii="Times New Roman" w:hAnsi="Times New Roman" w:cs="Times New Roman"/>
          <w:color w:val="000000"/>
          <w:szCs w:val="30"/>
          <w:highlight w:val="none"/>
          <w:lang w:eastAsia="zh-CN"/>
        </w:rPr>
        <w:t>交易系统根据出让（受让）</w:t>
      </w:r>
      <w:r>
        <w:rPr>
          <w:rFonts w:hint="default" w:ascii="Times New Roman" w:hAnsi="Times New Roman" w:cs="Times New Roman"/>
          <w:color w:val="000000"/>
          <w:szCs w:val="30"/>
          <w:highlight w:val="none"/>
        </w:rPr>
        <w:t>主体</w:t>
      </w:r>
      <w:r>
        <w:rPr>
          <w:rFonts w:hint="default" w:ascii="Times New Roman" w:hAnsi="Times New Roman" w:cs="Times New Roman"/>
          <w:color w:val="000000"/>
          <w:szCs w:val="30"/>
          <w:highlight w:val="none"/>
          <w:lang w:eastAsia="zh-CN"/>
        </w:rPr>
        <w:t>自主</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受让（出让）</w:t>
      </w:r>
      <w:r>
        <w:rPr>
          <w:rFonts w:hint="default" w:ascii="Times New Roman" w:hAnsi="Times New Roman" w:cs="Times New Roman"/>
          <w:color w:val="000000"/>
          <w:szCs w:val="30"/>
          <w:highlight w:val="none"/>
        </w:rPr>
        <w:t>主体自主摘牌</w:t>
      </w:r>
      <w:r>
        <w:rPr>
          <w:rFonts w:hint="default" w:ascii="Times New Roman" w:hAnsi="Times New Roman" w:cs="Times New Roman"/>
          <w:color w:val="000000"/>
          <w:szCs w:val="30"/>
          <w:highlight w:val="none"/>
          <w:lang w:eastAsia="zh-CN"/>
        </w:rPr>
        <w:t>申报结果组织统一出清，也可由交易系统根据出让、受让主体挂牌价格滚动撮合出清。具体在交易公告中明确。</w:t>
      </w:r>
    </w:p>
    <w:p>
      <w:pPr>
        <w:pageBreakBefore w:val="0"/>
        <w:widowControl w:val="0"/>
        <w:numPr>
          <w:ilvl w:val="0"/>
          <w:numId w:val="3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交易申报：</w:t>
      </w:r>
      <w:r>
        <w:rPr>
          <w:rFonts w:hint="default" w:ascii="Times New Roman" w:hAnsi="Times New Roman" w:cs="Times New Roman"/>
          <w:b w:val="0"/>
          <w:bCs w:val="0"/>
          <w:color w:val="000000"/>
          <w:szCs w:val="30"/>
          <w:highlight w:val="none"/>
          <w:lang w:eastAsia="zh-CN"/>
        </w:rPr>
        <w:t>挂牌的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应自主申报交易电量、价格等挂牌信息，摘牌的</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自主申报摘牌电量、价格等信息，交易曲线在交易公告中明确。</w:t>
      </w:r>
      <w:r>
        <w:rPr>
          <w:rFonts w:hint="eastAsia" w:cs="Times New Roman"/>
          <w:b w:val="0"/>
          <w:bCs w:val="0"/>
          <w:color w:val="000000"/>
          <w:szCs w:val="30"/>
          <w:highlight w:val="none"/>
          <w:lang w:eastAsia="zh-CN"/>
        </w:rPr>
        <w:t>经营主体</w:t>
      </w:r>
      <w:r>
        <w:rPr>
          <w:rFonts w:hint="default" w:ascii="Times New Roman" w:hAnsi="Times New Roman" w:cs="Times New Roman"/>
          <w:b w:val="0"/>
          <w:bCs w:val="0"/>
          <w:color w:val="000000"/>
          <w:szCs w:val="30"/>
          <w:highlight w:val="none"/>
          <w:lang w:eastAsia="zh-CN"/>
        </w:rPr>
        <w:t>申报电量、申报价格应分别考虑输电损耗、输配电价（含线损）、政府基金及附加后统一折算到约定的交易关口，形成折算后的出让主体和受让主体申报信息。统一出清方式下，</w:t>
      </w:r>
      <w:r>
        <w:rPr>
          <w:rFonts w:hint="default" w:ascii="Times New Roman" w:hAnsi="Times New Roman" w:cs="Times New Roman"/>
          <w:color w:val="000000"/>
          <w:szCs w:val="30"/>
          <w:highlight w:val="none"/>
        </w:rPr>
        <w:t>当存在多个挂牌方时，某一摘牌方可分别向各挂牌方自主申报摘牌电量。该摘牌方总申报摘牌电量不能超过自身发用电能力约束。</w:t>
      </w:r>
    </w:p>
    <w:p>
      <w:pPr>
        <w:pageBreakBefore w:val="0"/>
        <w:widowControl w:val="0"/>
        <w:numPr>
          <w:ilvl w:val="0"/>
          <w:numId w:val="35"/>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b w:val="0"/>
          <w:bCs w:val="0"/>
          <w:color w:val="000000"/>
          <w:szCs w:val="30"/>
          <w:highlight w:val="none"/>
          <w:lang w:eastAsia="zh-CN"/>
        </w:rPr>
      </w:pPr>
      <w:r>
        <w:rPr>
          <w:rFonts w:hint="default" w:ascii="Times New Roman" w:hAnsi="Times New Roman" w:cs="Times New Roman"/>
          <w:b/>
          <w:bCs/>
          <w:color w:val="000000"/>
          <w:szCs w:val="30"/>
          <w:highlight w:val="none"/>
          <w:lang w:val="en-US" w:eastAsia="zh-CN"/>
        </w:rPr>
        <w:t>.</w:t>
      </w:r>
      <w:r>
        <w:rPr>
          <w:rFonts w:hint="default" w:ascii="Times New Roman" w:hAnsi="Times New Roman" w:cs="Times New Roman"/>
          <w:b/>
          <w:bCs/>
          <w:color w:val="000000"/>
          <w:szCs w:val="30"/>
          <w:highlight w:val="none"/>
          <w:lang w:eastAsia="zh-CN"/>
        </w:rPr>
        <w:t>交易出清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eastAsia="仿宋_GB2312" w:cs="Times New Roman"/>
          <w:color w:val="000000"/>
          <w:szCs w:val="30"/>
          <w:highlight w:val="none"/>
          <w:lang w:val="en-US" w:eastAsia="zh-CN"/>
        </w:rPr>
      </w:pPr>
      <w:r>
        <w:rPr>
          <w:rFonts w:hint="default" w:ascii="Times New Roman" w:hAnsi="Times New Roman" w:cs="Times New Roman"/>
          <w:color w:val="000000"/>
          <w:szCs w:val="30"/>
          <w:highlight w:val="none"/>
          <w:lang w:val="en-US" w:eastAsia="zh-CN"/>
        </w:rPr>
        <w:t>挂牌交易可以采用统一出清和滚动撮合两种出清方式。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1</w:t>
      </w:r>
      <w:r>
        <w:rPr>
          <w:rFonts w:hint="default" w:ascii="Times New Roman" w:hAnsi="Times New Roman" w:cs="Times New Roman"/>
          <w:color w:val="000000"/>
          <w:szCs w:val="30"/>
          <w:highlight w:val="none"/>
          <w:lang w:eastAsia="zh-CN"/>
        </w:rPr>
        <w:t>）统一出清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广州电力交易中心汇总交易期间</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挂牌及摘牌结果，统一进行出清。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rPr>
        <w:t>当某一挂牌方的总摘牌电量大于其挂牌电量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时，按</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lang w:eastAsia="zh-CN"/>
        </w:rPr>
        <w:t>摘牌</w:t>
      </w:r>
      <w:r>
        <w:rPr>
          <w:rFonts w:hint="default" w:ascii="Times New Roman" w:hAnsi="Times New Roman" w:cs="Times New Roman"/>
          <w:color w:val="000000"/>
          <w:szCs w:val="30"/>
          <w:highlight w:val="none"/>
        </w:rPr>
        <w:t>电量所占比例等</w:t>
      </w:r>
      <w:r>
        <w:rPr>
          <w:rFonts w:hint="default" w:ascii="Times New Roman" w:hAnsi="Times New Roman" w:cs="Times New Roman"/>
          <w:color w:val="000000"/>
          <w:szCs w:val="30"/>
          <w:highlight w:val="none"/>
          <w:lang w:eastAsia="zh-CN"/>
        </w:rPr>
        <w:t>比例调减</w:t>
      </w:r>
      <w:r>
        <w:rPr>
          <w:rFonts w:hint="default" w:ascii="Times New Roman" w:hAnsi="Times New Roman" w:cs="Times New Roman"/>
          <w:color w:val="000000"/>
          <w:szCs w:val="30"/>
          <w:highlight w:val="none"/>
        </w:rPr>
        <w:t>；当总摘牌电量小于或等于挂牌电量</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经安全校核后</w:t>
      </w:r>
      <w:r>
        <w:rPr>
          <w:rFonts w:hint="default" w:ascii="Times New Roman" w:hAnsi="Times New Roman" w:cs="Times New Roman"/>
          <w:color w:val="000000"/>
          <w:szCs w:val="30"/>
          <w:highlight w:val="none"/>
        </w:rPr>
        <w:t>摘牌电量即为成交电量。</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eastAsia="仿宋_GB2312" w:cs="Times New Roman"/>
          <w:color w:val="000000"/>
          <w:szCs w:val="30"/>
          <w:highlight w:val="none"/>
          <w:lang w:eastAsia="zh-CN"/>
        </w:rPr>
      </w:pPr>
      <w:r>
        <w:rPr>
          <w:rFonts w:hint="default" w:ascii="Times New Roman" w:hAnsi="Times New Roman" w:cs="Times New Roman"/>
          <w:b/>
          <w:bCs/>
          <w:color w:val="000000"/>
          <w:szCs w:val="30"/>
          <w:highlight w:val="none"/>
          <w:lang w:eastAsia="zh-CN"/>
        </w:rPr>
        <w:t>成交价格</w:t>
      </w: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rPr>
        <w:t>挂牌价格即为成交价格</w:t>
      </w:r>
      <w:r>
        <w:rPr>
          <w:rFonts w:hint="default" w:ascii="Times New Roman" w:hAnsi="Times New Roman" w:cs="Times New Roman"/>
          <w:color w:val="000000"/>
          <w:szCs w:val="30"/>
          <w:highlight w:val="none"/>
          <w:lang w:eastAsia="zh-CN"/>
        </w:rPr>
        <w:t>。</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lang w:eastAsia="zh-CN"/>
        </w:rPr>
        <w:t>（</w:t>
      </w:r>
      <w:r>
        <w:rPr>
          <w:rFonts w:hint="default" w:ascii="Times New Roman" w:hAnsi="Times New Roman" w:cs="Times New Roman"/>
          <w:color w:val="000000"/>
          <w:szCs w:val="30"/>
          <w:highlight w:val="none"/>
          <w:lang w:val="en-US" w:eastAsia="zh-CN"/>
        </w:rPr>
        <w:t>2</w:t>
      </w:r>
      <w:r>
        <w:rPr>
          <w:rFonts w:hint="default" w:ascii="Times New Roman" w:hAnsi="Times New Roman" w:cs="Times New Roman"/>
          <w:color w:val="000000"/>
          <w:szCs w:val="30"/>
          <w:highlight w:val="none"/>
          <w:lang w:eastAsia="zh-CN"/>
        </w:rPr>
        <w:t>）滚动撮合出清</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color w:val="000000"/>
          <w:szCs w:val="30"/>
          <w:highlight w:val="none"/>
        </w:rPr>
        <w:t>实时建立</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受让主体</w:t>
      </w:r>
      <w:r>
        <w:rPr>
          <w:rFonts w:hint="default" w:ascii="Times New Roman" w:hAnsi="Times New Roman" w:cs="Times New Roman"/>
          <w:color w:val="000000"/>
          <w:szCs w:val="30"/>
          <w:highlight w:val="none"/>
        </w:rPr>
        <w:t>挂牌两个队列，将</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挂牌电量按挂牌价从高到低排列，将</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挂牌电量按挂牌价从低到高排列，价格相同时按申报时间较早者优先排列。交易系统接收到</w:t>
      </w:r>
      <w:r>
        <w:rPr>
          <w:rFonts w:hint="eastAsia" w:cs="Times New Roman"/>
          <w:color w:val="000000"/>
          <w:szCs w:val="30"/>
          <w:highlight w:val="none"/>
          <w:lang w:eastAsia="zh-CN"/>
        </w:rPr>
        <w:t>经营主体</w:t>
      </w:r>
      <w:r>
        <w:rPr>
          <w:rFonts w:hint="default" w:ascii="Times New Roman" w:hAnsi="Times New Roman" w:cs="Times New Roman"/>
          <w:color w:val="000000"/>
          <w:szCs w:val="30"/>
          <w:highlight w:val="none"/>
        </w:rPr>
        <w:t>提交的新增挂牌时，则实时动态刷新队列。交易系统按照价格优先、时间优先的原则，自动撮合</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挂牌价高于或等于</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挂牌价的电量成交：较高的</w:t>
      </w:r>
      <w:r>
        <w:rPr>
          <w:rFonts w:hint="default" w:ascii="Times New Roman" w:hAnsi="Times New Roman" w:cs="Times New Roman"/>
          <w:color w:val="000000"/>
          <w:szCs w:val="30"/>
          <w:highlight w:val="none"/>
          <w:lang w:eastAsia="zh-CN"/>
        </w:rPr>
        <w:t>受让挂</w:t>
      </w:r>
      <w:r>
        <w:rPr>
          <w:rFonts w:hint="default" w:ascii="Times New Roman" w:hAnsi="Times New Roman" w:cs="Times New Roman"/>
          <w:color w:val="000000"/>
          <w:szCs w:val="30"/>
          <w:highlight w:val="none"/>
        </w:rPr>
        <w:t>牌价优先成交，较低的</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w:t>
      </w:r>
      <w:r>
        <w:rPr>
          <w:rFonts w:hint="default" w:ascii="Times New Roman" w:hAnsi="Times New Roman" w:cs="Times New Roman"/>
          <w:color w:val="000000"/>
          <w:szCs w:val="30"/>
          <w:highlight w:val="none"/>
          <w:lang w:eastAsia="zh-CN"/>
        </w:rPr>
        <w:t>价</w:t>
      </w:r>
      <w:r>
        <w:rPr>
          <w:rFonts w:hint="default" w:ascii="Times New Roman" w:hAnsi="Times New Roman" w:cs="Times New Roman"/>
          <w:color w:val="000000"/>
          <w:szCs w:val="30"/>
          <w:highlight w:val="none"/>
        </w:rPr>
        <w:t>优先成交；买卖方向相同、价格相同时，先挂牌者优先成交。</w:t>
      </w:r>
      <w:r>
        <w:rPr>
          <w:rFonts w:hint="default" w:ascii="Times New Roman" w:hAnsi="Times New Roman" w:cs="Times New Roman"/>
          <w:color w:val="000000"/>
          <w:szCs w:val="30"/>
          <w:highlight w:val="none"/>
          <w:lang w:val="en-US" w:eastAsia="zh-CN"/>
        </w:rPr>
        <w:t>当</w:t>
      </w:r>
      <w:r>
        <w:rPr>
          <w:rFonts w:hint="default" w:ascii="Times New Roman" w:hAnsi="Times New Roman" w:cs="Times New Roman"/>
          <w:color w:val="000000"/>
          <w:szCs w:val="30"/>
          <w:highlight w:val="none"/>
          <w:lang w:eastAsia="zh-CN"/>
        </w:rPr>
        <w:t>实时撮合出清</w:t>
      </w:r>
      <w:r>
        <w:rPr>
          <w:rFonts w:hint="default" w:ascii="Times New Roman" w:hAnsi="Times New Roman" w:cs="Times New Roman"/>
          <w:color w:val="000000"/>
          <w:szCs w:val="30"/>
          <w:highlight w:val="none"/>
          <w:lang w:val="en-US" w:eastAsia="zh-CN"/>
        </w:rPr>
        <w:t>的电量达到</w:t>
      </w:r>
      <w:r>
        <w:rPr>
          <w:rFonts w:hint="default" w:ascii="Times New Roman" w:hAnsi="Times New Roman" w:cs="Times New Roman"/>
          <w:color w:val="000000"/>
          <w:szCs w:val="30"/>
          <w:highlight w:val="none"/>
        </w:rPr>
        <w:t>交易规模</w:t>
      </w:r>
      <w:r>
        <w:rPr>
          <w:rFonts w:hint="default" w:ascii="Times New Roman" w:hAnsi="Times New Roman" w:cs="Times New Roman"/>
          <w:color w:val="000000"/>
          <w:szCs w:val="30"/>
          <w:highlight w:val="none"/>
          <w:lang w:eastAsia="zh-CN"/>
        </w:rPr>
        <w:t>、输电通道能力上限等约束</w:t>
      </w:r>
      <w:r>
        <w:rPr>
          <w:rFonts w:hint="default" w:ascii="Times New Roman" w:hAnsi="Times New Roman" w:cs="Times New Roman"/>
          <w:color w:val="000000"/>
          <w:szCs w:val="30"/>
          <w:highlight w:val="none"/>
        </w:rPr>
        <w:t>时</w:t>
      </w:r>
      <w:r>
        <w:rPr>
          <w:rFonts w:hint="default" w:ascii="Times New Roman" w:hAnsi="Times New Roman" w:cs="Times New Roman"/>
          <w:color w:val="000000"/>
          <w:szCs w:val="30"/>
          <w:highlight w:val="none"/>
          <w:lang w:eastAsia="zh-CN"/>
        </w:rPr>
        <w:t>，挂牌交易自动结束，最后一笔</w:t>
      </w:r>
      <w:r>
        <w:rPr>
          <w:rFonts w:hint="default" w:ascii="Times New Roman" w:hAnsi="Times New Roman" w:cs="Times New Roman"/>
          <w:color w:val="000000"/>
          <w:szCs w:val="30"/>
          <w:highlight w:val="none"/>
          <w:lang w:val="en-US" w:eastAsia="zh-CN"/>
        </w:rPr>
        <w:t>成交</w:t>
      </w:r>
      <w:r>
        <w:rPr>
          <w:rFonts w:hint="default" w:ascii="Times New Roman" w:hAnsi="Times New Roman" w:cs="Times New Roman"/>
          <w:color w:val="000000"/>
          <w:szCs w:val="30"/>
          <w:highlight w:val="none"/>
          <w:lang w:eastAsia="zh-CN"/>
        </w:rPr>
        <w:t>电量由剩余可交易规模确定</w:t>
      </w:r>
      <w:r>
        <w:rPr>
          <w:rFonts w:hint="default" w:ascii="Times New Roman" w:hAnsi="Times New Roman" w:cs="Times New Roman"/>
          <w:color w:val="000000"/>
          <w:szCs w:val="30"/>
          <w:highlight w:val="none"/>
        </w:rPr>
        <w:t>。</w:t>
      </w:r>
    </w:p>
    <w:p>
      <w:pPr>
        <w:pageBreakBefore w:val="0"/>
        <w:widowControl w:val="0"/>
        <w:tabs>
          <w:tab w:val="left" w:pos="604"/>
          <w:tab w:val="left" w:pos="1429"/>
        </w:tabs>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成交电量</w:t>
      </w:r>
      <w:r>
        <w:rPr>
          <w:rFonts w:hint="default" w:ascii="Times New Roman" w:hAnsi="Times New Roman" w:cs="Times New Roman"/>
          <w:color w:val="000000"/>
          <w:szCs w:val="30"/>
          <w:highlight w:val="none"/>
          <w:lang w:eastAsia="zh-CN"/>
        </w:rPr>
        <w:t>：系统撮合成交的每一对出让挂牌电量、受让挂牌电量二者中较小者。</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2" w:firstLineChars="200"/>
        <w:textAlignment w:val="auto"/>
        <w:rPr>
          <w:rFonts w:hint="default" w:ascii="Times New Roman" w:hAnsi="Times New Roman" w:cs="Times New Roman"/>
          <w:color w:val="000000"/>
          <w:szCs w:val="30"/>
          <w:highlight w:val="none"/>
        </w:rPr>
      </w:pPr>
      <w:r>
        <w:rPr>
          <w:rFonts w:hint="default" w:ascii="Times New Roman" w:hAnsi="Times New Roman" w:cs="Times New Roman"/>
          <w:b/>
          <w:bCs/>
          <w:color w:val="000000"/>
          <w:szCs w:val="30"/>
          <w:highlight w:val="none"/>
          <w:lang w:eastAsia="zh-CN"/>
        </w:rPr>
        <w:t>成交电价</w:t>
      </w:r>
      <w:r>
        <w:rPr>
          <w:rFonts w:hint="default" w:ascii="Times New Roman" w:hAnsi="Times New Roman" w:cs="Times New Roman"/>
          <w:b w:val="0"/>
          <w:bCs w:val="0"/>
          <w:color w:val="000000"/>
          <w:szCs w:val="30"/>
          <w:highlight w:val="none"/>
          <w:lang w:eastAsia="zh-CN"/>
        </w:rPr>
        <w:t>：</w:t>
      </w:r>
      <w:r>
        <w:rPr>
          <w:rFonts w:hint="default" w:ascii="Times New Roman" w:hAnsi="Times New Roman" w:cs="Times New Roman"/>
          <w:color w:val="000000"/>
          <w:szCs w:val="30"/>
          <w:highlight w:val="none"/>
        </w:rPr>
        <w:t>当最高</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挂牌价与最低</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挂牌价相同时，以该价格为成交价。当</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挂牌价高于实时的最低</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挂牌价时，取实时发布的最低</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挂牌价为其成交价。当</w:t>
      </w:r>
      <w:r>
        <w:rPr>
          <w:rFonts w:hint="default" w:ascii="Times New Roman" w:hAnsi="Times New Roman" w:cs="Times New Roman"/>
          <w:color w:val="000000"/>
          <w:szCs w:val="30"/>
          <w:highlight w:val="none"/>
          <w:lang w:eastAsia="zh-CN"/>
        </w:rPr>
        <w:t>出让</w:t>
      </w:r>
      <w:r>
        <w:rPr>
          <w:rFonts w:hint="default" w:ascii="Times New Roman" w:hAnsi="Times New Roman" w:cs="Times New Roman"/>
          <w:color w:val="000000"/>
          <w:szCs w:val="30"/>
          <w:highlight w:val="none"/>
        </w:rPr>
        <w:t>挂牌价低于实时的最高</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挂牌价时，取实时发布的最高</w:t>
      </w:r>
      <w:r>
        <w:rPr>
          <w:rFonts w:hint="default" w:ascii="Times New Roman" w:hAnsi="Times New Roman" w:cs="Times New Roman"/>
          <w:color w:val="000000"/>
          <w:szCs w:val="30"/>
          <w:highlight w:val="none"/>
          <w:lang w:eastAsia="zh-CN"/>
        </w:rPr>
        <w:t>受让</w:t>
      </w:r>
      <w:r>
        <w:rPr>
          <w:rFonts w:hint="default" w:ascii="Times New Roman" w:hAnsi="Times New Roman" w:cs="Times New Roman"/>
          <w:color w:val="000000"/>
          <w:szCs w:val="30"/>
          <w:highlight w:val="none"/>
        </w:rPr>
        <w:t>挂牌价为其成交价。</w:t>
      </w:r>
    </w:p>
    <w:p>
      <w:pPr>
        <w:pageBreakBefore w:val="0"/>
        <w:widowControl w:val="0"/>
        <w:numPr>
          <w:ilvl w:val="0"/>
          <w:numId w:val="0"/>
        </w:numPr>
        <w:kinsoku/>
        <w:wordWrap/>
        <w:overflowPunct w:val="0"/>
        <w:topLinePunct w:val="0"/>
        <w:autoSpaceDE/>
        <w:autoSpaceDN/>
        <w:bidi w:val="0"/>
        <w:adjustRightInd/>
        <w:snapToGrid w:val="0"/>
        <w:spacing w:line="560" w:lineRule="exact"/>
        <w:ind w:left="300" w:leftChars="100" w:firstLine="600" w:firstLineChars="200"/>
        <w:textAlignment w:val="auto"/>
        <w:rPr>
          <w:rFonts w:hint="default" w:ascii="Times New Roman" w:hAnsi="Times New Roman" w:cs="Times New Roman"/>
          <w:b w:val="0"/>
          <w:bCs w:val="0"/>
          <w:color w:val="000000"/>
          <w:szCs w:val="30"/>
          <w:highlight w:val="none"/>
        </w:rPr>
      </w:pPr>
      <w:r>
        <w:rPr>
          <w:rFonts w:hint="default" w:ascii="Times New Roman" w:hAnsi="Times New Roman" w:cs="Times New Roman"/>
          <w:b w:val="0"/>
          <w:bCs w:val="0"/>
          <w:color w:val="000000"/>
          <w:szCs w:val="30"/>
          <w:highlight w:val="none"/>
          <w:lang w:eastAsia="zh-CN"/>
        </w:rPr>
        <w:t>交易关口侧的成交电量、价格应分别考虑输电损耗、输配电价（含线损）、政府基金及附加后折算到出让侧和受让侧，作为</w:t>
      </w:r>
      <w:r>
        <w:rPr>
          <w:rFonts w:hint="default" w:ascii="Times New Roman" w:hAnsi="Times New Roman" w:cs="Times New Roman"/>
          <w:b w:val="0"/>
          <w:bCs w:val="0"/>
          <w:color w:val="000000"/>
          <w:szCs w:val="30"/>
          <w:highlight w:val="none"/>
          <w:lang w:val="en-US" w:eastAsia="zh-CN"/>
        </w:rPr>
        <w:t>出让</w:t>
      </w:r>
      <w:r>
        <w:rPr>
          <w:rFonts w:hint="default" w:ascii="Times New Roman" w:hAnsi="Times New Roman" w:cs="Times New Roman"/>
          <w:b w:val="0"/>
          <w:bCs w:val="0"/>
          <w:color w:val="000000"/>
          <w:szCs w:val="30"/>
          <w:highlight w:val="none"/>
          <w:lang w:eastAsia="zh-CN"/>
        </w:rPr>
        <w:t>主体和</w:t>
      </w:r>
      <w:r>
        <w:rPr>
          <w:rFonts w:hint="default" w:ascii="Times New Roman" w:hAnsi="Times New Roman" w:cs="Times New Roman"/>
          <w:b w:val="0"/>
          <w:bCs w:val="0"/>
          <w:color w:val="000000"/>
          <w:szCs w:val="30"/>
          <w:highlight w:val="none"/>
          <w:lang w:val="en-US" w:eastAsia="zh-CN"/>
        </w:rPr>
        <w:t>受让</w:t>
      </w:r>
      <w:r>
        <w:rPr>
          <w:rFonts w:hint="default" w:ascii="Times New Roman" w:hAnsi="Times New Roman" w:cs="Times New Roman"/>
          <w:b w:val="0"/>
          <w:bCs w:val="0"/>
          <w:color w:val="000000"/>
          <w:szCs w:val="30"/>
          <w:highlight w:val="none"/>
          <w:lang w:eastAsia="zh-CN"/>
        </w:rPr>
        <w:t>主体成交电量和价格</w:t>
      </w:r>
      <w:r>
        <w:rPr>
          <w:rFonts w:hint="default" w:ascii="Times New Roman" w:hAnsi="Times New Roman" w:cs="Times New Roman"/>
          <w:b w:val="0"/>
          <w:bCs w:val="0"/>
          <w:color w:val="000000"/>
          <w:szCs w:val="30"/>
          <w:highlight w:val="none"/>
        </w:rPr>
        <w:t>。</w:t>
      </w:r>
    </w:p>
    <w:p>
      <w:pPr>
        <w:pStyle w:val="2"/>
        <w:pageBreakBefore w:val="0"/>
        <w:widowControl w:val="0"/>
        <w:kinsoku/>
        <w:wordWrap/>
        <w:topLinePunct w:val="0"/>
        <w:autoSpaceDE/>
        <w:autoSpaceDN/>
        <w:bidi w:val="0"/>
        <w:adjustRightInd/>
        <w:spacing w:before="0" w:after="0" w:line="240" w:lineRule="auto"/>
        <w:ind w:firstLine="643" w:firstLineChars="200"/>
        <w:textAlignment w:val="auto"/>
        <w:rPr>
          <w:rFonts w:hint="default" w:ascii="Times New Roman" w:hAnsi="Times New Roman" w:cs="Times New Roman"/>
          <w:highlight w:val="none"/>
        </w:rPr>
      </w:pPr>
    </w:p>
    <w:p>
      <w:pPr>
        <w:rPr>
          <w:rFonts w:hint="default"/>
          <w:highlight w:val="none"/>
        </w:rPr>
      </w:pPr>
    </w:p>
    <w:sectPr>
      <w:pgSz w:w="11906" w:h="16838"/>
      <w:pgMar w:top="1440" w:right="1803" w:bottom="1440" w:left="1803" w:header="851" w:footer="992" w:gutter="0"/>
      <w:pgNumType w:fmt="decimal"/>
      <w:cols w:space="720" w:num="1"/>
      <w:docGrid w:type="lines" w:linePitch="4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06DA3"/>
    <w:multiLevelType w:val="multilevel"/>
    <w:tmpl w:val="8C306DA3"/>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1">
    <w:nsid w:val="8E4396F6"/>
    <w:multiLevelType w:val="multilevel"/>
    <w:tmpl w:val="8E4396F6"/>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2">
    <w:nsid w:val="9072879F"/>
    <w:multiLevelType w:val="multilevel"/>
    <w:tmpl w:val="9072879F"/>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3">
    <w:nsid w:val="9BA8EE8A"/>
    <w:multiLevelType w:val="multilevel"/>
    <w:tmpl w:val="9BA8EE8A"/>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4">
    <w:nsid w:val="A184619E"/>
    <w:multiLevelType w:val="multilevel"/>
    <w:tmpl w:val="A184619E"/>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5">
    <w:nsid w:val="A361FCD3"/>
    <w:multiLevelType w:val="singleLevel"/>
    <w:tmpl w:val="A361FCD3"/>
    <w:lvl w:ilvl="0" w:tentative="0">
      <w:start w:val="1"/>
      <w:numFmt w:val="decimal"/>
      <w:suff w:val="nothing"/>
      <w:lvlText w:val="（%1）"/>
      <w:lvlJc w:val="left"/>
    </w:lvl>
  </w:abstractNum>
  <w:abstractNum w:abstractNumId="6">
    <w:nsid w:val="B3D88EB8"/>
    <w:multiLevelType w:val="multilevel"/>
    <w:tmpl w:val="B3D88EB8"/>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7">
    <w:nsid w:val="B5522D4B"/>
    <w:multiLevelType w:val="singleLevel"/>
    <w:tmpl w:val="B5522D4B"/>
    <w:lvl w:ilvl="0" w:tentative="0">
      <w:start w:val="1"/>
      <w:numFmt w:val="chineseCounting"/>
      <w:suff w:val="nothing"/>
      <w:lvlText w:val="（%1）"/>
      <w:lvlJc w:val="left"/>
      <w:rPr>
        <w:rFonts w:hint="eastAsia"/>
      </w:rPr>
    </w:lvl>
  </w:abstractNum>
  <w:abstractNum w:abstractNumId="8">
    <w:nsid w:val="B6575544"/>
    <w:multiLevelType w:val="singleLevel"/>
    <w:tmpl w:val="B6575544"/>
    <w:lvl w:ilvl="0" w:tentative="0">
      <w:start w:val="1"/>
      <w:numFmt w:val="chineseCounting"/>
      <w:suff w:val="nothing"/>
      <w:lvlText w:val="（%1）"/>
      <w:lvlJc w:val="left"/>
      <w:pPr>
        <w:ind w:left="0" w:firstLine="420"/>
      </w:pPr>
      <w:rPr>
        <w:rFonts w:hint="eastAsia"/>
      </w:rPr>
    </w:lvl>
  </w:abstractNum>
  <w:abstractNum w:abstractNumId="9">
    <w:nsid w:val="C8F1D127"/>
    <w:multiLevelType w:val="multilevel"/>
    <w:tmpl w:val="C8F1D127"/>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10">
    <w:nsid w:val="D5A8D11F"/>
    <w:multiLevelType w:val="singleLevel"/>
    <w:tmpl w:val="D5A8D11F"/>
    <w:lvl w:ilvl="0" w:tentative="0">
      <w:start w:val="2"/>
      <w:numFmt w:val="chineseCounting"/>
      <w:suff w:val="space"/>
      <w:lvlText w:val="第%1章"/>
      <w:lvlJc w:val="left"/>
      <w:rPr>
        <w:rFonts w:hint="eastAsia"/>
      </w:rPr>
    </w:lvl>
  </w:abstractNum>
  <w:abstractNum w:abstractNumId="11">
    <w:nsid w:val="D6C6EA47"/>
    <w:multiLevelType w:val="multilevel"/>
    <w:tmpl w:val="D6C6EA47"/>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12">
    <w:nsid w:val="E5C396CF"/>
    <w:multiLevelType w:val="singleLevel"/>
    <w:tmpl w:val="E5C396CF"/>
    <w:lvl w:ilvl="0" w:tentative="0">
      <w:start w:val="1"/>
      <w:numFmt w:val="chineseCounting"/>
      <w:suff w:val="nothing"/>
      <w:lvlText w:val="（%1）"/>
      <w:lvlJc w:val="left"/>
      <w:pPr>
        <w:ind w:left="0" w:firstLine="420"/>
      </w:pPr>
      <w:rPr>
        <w:rFonts w:hint="eastAsia"/>
      </w:rPr>
    </w:lvl>
  </w:abstractNum>
  <w:abstractNum w:abstractNumId="13">
    <w:nsid w:val="ED90E84D"/>
    <w:multiLevelType w:val="multilevel"/>
    <w:tmpl w:val="ED90E84D"/>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14">
    <w:nsid w:val="F51B0579"/>
    <w:multiLevelType w:val="multilevel"/>
    <w:tmpl w:val="F51B0579"/>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15">
    <w:nsid w:val="F618D828"/>
    <w:multiLevelType w:val="singleLevel"/>
    <w:tmpl w:val="F618D828"/>
    <w:lvl w:ilvl="0" w:tentative="0">
      <w:start w:val="1"/>
      <w:numFmt w:val="chineseCounting"/>
      <w:suff w:val="nothing"/>
      <w:lvlText w:val="（%1）"/>
      <w:lvlJc w:val="left"/>
      <w:pPr>
        <w:ind w:left="0" w:firstLine="420"/>
      </w:pPr>
      <w:rPr>
        <w:rFonts w:hint="eastAsia"/>
      </w:rPr>
    </w:lvl>
  </w:abstractNum>
  <w:abstractNum w:abstractNumId="16">
    <w:nsid w:val="FB770C15"/>
    <w:multiLevelType w:val="singleLevel"/>
    <w:tmpl w:val="FB770C15"/>
    <w:lvl w:ilvl="0" w:tentative="0">
      <w:start w:val="1"/>
      <w:numFmt w:val="chineseCounting"/>
      <w:suff w:val="nothing"/>
      <w:lvlText w:val="（%1）"/>
      <w:lvlJc w:val="left"/>
      <w:rPr>
        <w:rFonts w:hint="eastAsia"/>
      </w:rPr>
    </w:lvl>
  </w:abstractNum>
  <w:abstractNum w:abstractNumId="17">
    <w:nsid w:val="00000001"/>
    <w:multiLevelType w:val="multilevel"/>
    <w:tmpl w:val="00000001"/>
    <w:lvl w:ilvl="0" w:tentative="0">
      <w:start w:val="1"/>
      <w:numFmt w:val="chineseCountingThousand"/>
      <w:lvlText w:val="第%1条"/>
      <w:lvlJc w:val="left"/>
      <w:pPr>
        <w:tabs>
          <w:tab w:val="left" w:pos="1429"/>
        </w:tabs>
        <w:ind w:left="85" w:firstLine="624"/>
      </w:pPr>
      <w:rPr>
        <w:rFonts w:hint="eastAsia" w:ascii="仿宋_GB2312" w:eastAsia="仿宋_GB2312" w:cs="Times New Roman"/>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18">
    <w:nsid w:val="03E1D0AA"/>
    <w:multiLevelType w:val="multilevel"/>
    <w:tmpl w:val="03E1D0AA"/>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19">
    <w:nsid w:val="0426C421"/>
    <w:multiLevelType w:val="singleLevel"/>
    <w:tmpl w:val="0426C421"/>
    <w:lvl w:ilvl="0" w:tentative="0">
      <w:start w:val="1"/>
      <w:numFmt w:val="chineseCounting"/>
      <w:suff w:val="nothing"/>
      <w:lvlText w:val="（%1）"/>
      <w:lvlJc w:val="left"/>
      <w:pPr>
        <w:ind w:left="0" w:firstLine="420"/>
      </w:pPr>
      <w:rPr>
        <w:rFonts w:hint="eastAsia"/>
      </w:rPr>
    </w:lvl>
  </w:abstractNum>
  <w:abstractNum w:abstractNumId="20">
    <w:nsid w:val="0818DAF5"/>
    <w:multiLevelType w:val="multilevel"/>
    <w:tmpl w:val="0818DAF5"/>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21">
    <w:nsid w:val="1091FF6F"/>
    <w:multiLevelType w:val="singleLevel"/>
    <w:tmpl w:val="1091FF6F"/>
    <w:lvl w:ilvl="0" w:tentative="0">
      <w:start w:val="1"/>
      <w:numFmt w:val="chineseCounting"/>
      <w:suff w:val="nothing"/>
      <w:lvlText w:val="（%1）"/>
      <w:lvlJc w:val="left"/>
      <w:pPr>
        <w:ind w:left="0" w:firstLine="420"/>
      </w:pPr>
      <w:rPr>
        <w:rFonts w:hint="eastAsia"/>
      </w:rPr>
    </w:lvl>
  </w:abstractNum>
  <w:abstractNum w:abstractNumId="22">
    <w:nsid w:val="13443244"/>
    <w:multiLevelType w:val="singleLevel"/>
    <w:tmpl w:val="13443244"/>
    <w:lvl w:ilvl="0" w:tentative="0">
      <w:start w:val="1"/>
      <w:numFmt w:val="chineseCounting"/>
      <w:suff w:val="nothing"/>
      <w:lvlText w:val="（%1）"/>
      <w:lvlJc w:val="left"/>
      <w:rPr>
        <w:rFonts w:hint="eastAsia"/>
      </w:rPr>
    </w:lvl>
  </w:abstractNum>
  <w:abstractNum w:abstractNumId="23">
    <w:nsid w:val="1D16B293"/>
    <w:multiLevelType w:val="multilevel"/>
    <w:tmpl w:val="1D16B293"/>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24">
    <w:nsid w:val="21ECB255"/>
    <w:multiLevelType w:val="singleLevel"/>
    <w:tmpl w:val="21ECB255"/>
    <w:lvl w:ilvl="0" w:tentative="0">
      <w:start w:val="1"/>
      <w:numFmt w:val="chineseCounting"/>
      <w:suff w:val="nothing"/>
      <w:lvlText w:val="（%1）"/>
      <w:lvlJc w:val="left"/>
      <w:pPr>
        <w:ind w:left="0" w:firstLine="420"/>
      </w:pPr>
      <w:rPr>
        <w:rFonts w:hint="eastAsia"/>
        <w:highlight w:val="none"/>
      </w:rPr>
    </w:lvl>
  </w:abstractNum>
  <w:abstractNum w:abstractNumId="25">
    <w:nsid w:val="300A439D"/>
    <w:multiLevelType w:val="multilevel"/>
    <w:tmpl w:val="300A439D"/>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26">
    <w:nsid w:val="31E8F571"/>
    <w:multiLevelType w:val="multilevel"/>
    <w:tmpl w:val="31E8F571"/>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27">
    <w:nsid w:val="5844F89D"/>
    <w:multiLevelType w:val="singleLevel"/>
    <w:tmpl w:val="5844F89D"/>
    <w:lvl w:ilvl="0" w:tentative="0">
      <w:start w:val="1"/>
      <w:numFmt w:val="chineseCounting"/>
      <w:suff w:val="nothing"/>
      <w:lvlText w:val="（%1）"/>
      <w:lvlJc w:val="left"/>
      <w:pPr>
        <w:ind w:left="0" w:firstLine="420"/>
      </w:pPr>
      <w:rPr>
        <w:rFonts w:hint="eastAsia"/>
      </w:rPr>
    </w:lvl>
  </w:abstractNum>
  <w:abstractNum w:abstractNumId="28">
    <w:nsid w:val="587CF97A"/>
    <w:multiLevelType w:val="singleLevel"/>
    <w:tmpl w:val="587CF97A"/>
    <w:lvl w:ilvl="0" w:tentative="0">
      <w:start w:val="1"/>
      <w:numFmt w:val="chineseCounting"/>
      <w:suff w:val="nothing"/>
      <w:lvlText w:val="（%1）"/>
      <w:lvlJc w:val="left"/>
      <w:rPr>
        <w:rFonts w:hint="eastAsia"/>
      </w:rPr>
    </w:lvl>
  </w:abstractNum>
  <w:abstractNum w:abstractNumId="29">
    <w:nsid w:val="58E8501C"/>
    <w:multiLevelType w:val="singleLevel"/>
    <w:tmpl w:val="58E8501C"/>
    <w:lvl w:ilvl="0" w:tentative="0">
      <w:start w:val="1"/>
      <w:numFmt w:val="chineseCounting"/>
      <w:suff w:val="nothing"/>
      <w:lvlText w:val="（%1）"/>
      <w:lvlJc w:val="left"/>
      <w:pPr>
        <w:ind w:left="0" w:firstLine="420"/>
      </w:pPr>
      <w:rPr>
        <w:rFonts w:hint="eastAsia"/>
      </w:rPr>
    </w:lvl>
  </w:abstractNum>
  <w:abstractNum w:abstractNumId="30">
    <w:nsid w:val="6C36AA2C"/>
    <w:multiLevelType w:val="singleLevel"/>
    <w:tmpl w:val="6C36AA2C"/>
    <w:lvl w:ilvl="0" w:tentative="0">
      <w:start w:val="1"/>
      <w:numFmt w:val="chineseCounting"/>
      <w:suff w:val="nothing"/>
      <w:lvlText w:val="%1、"/>
      <w:lvlJc w:val="left"/>
      <w:pPr>
        <w:ind w:left="0" w:firstLine="420"/>
      </w:pPr>
      <w:rPr>
        <w:rFonts w:hint="eastAsia"/>
      </w:rPr>
    </w:lvl>
  </w:abstractNum>
  <w:abstractNum w:abstractNumId="31">
    <w:nsid w:val="725212AF"/>
    <w:multiLevelType w:val="multilevel"/>
    <w:tmpl w:val="725212AF"/>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32">
    <w:nsid w:val="741A23C0"/>
    <w:multiLevelType w:val="multilevel"/>
    <w:tmpl w:val="741A23C0"/>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33">
    <w:nsid w:val="773B3D1C"/>
    <w:multiLevelType w:val="multilevel"/>
    <w:tmpl w:val="773B3D1C"/>
    <w:lvl w:ilvl="0" w:tentative="0">
      <w:start w:val="1"/>
      <w:numFmt w:val="decimal"/>
      <w:lvlText w:val="%1"/>
      <w:lvlJc w:val="left"/>
      <w:pPr>
        <w:tabs>
          <w:tab w:val="left" w:pos="1134"/>
        </w:tabs>
        <w:ind w:left="283" w:firstLine="426"/>
      </w:pPr>
      <w:rPr>
        <w:rFonts w:hint="eastAsia" w:ascii="宋体" w:hAnsi="宋体" w:eastAsia="宋体" w:cs="宋体"/>
        <w:b/>
        <w:bCs/>
        <w:i w:val="0"/>
        <w:iCs w:val="0"/>
        <w:sz w:val="30"/>
        <w:szCs w:val="30"/>
        <w:lang w:val="en-US"/>
      </w:rPr>
    </w:lvl>
    <w:lvl w:ilvl="1" w:tentative="0">
      <w:start w:val="1"/>
      <w:numFmt w:val="japaneseCounting"/>
      <w:lvlText w:val="（%2）"/>
      <w:lvlJc w:val="left"/>
      <w:pPr>
        <w:tabs>
          <w:tab w:val="left" w:pos="64"/>
        </w:tabs>
        <w:ind w:left="64" w:hanging="720"/>
      </w:pPr>
      <w:rPr>
        <w:rFonts w:hint="eastAsia" w:cs="Times New Roman"/>
      </w:rPr>
    </w:lvl>
    <w:lvl w:ilvl="2" w:tentative="0">
      <w:start w:val="1"/>
      <w:numFmt w:val="lowerRoman"/>
      <w:lvlText w:val="%3."/>
      <w:lvlJc w:val="right"/>
      <w:pPr>
        <w:tabs>
          <w:tab w:val="left" w:pos="184"/>
        </w:tabs>
        <w:ind w:left="184" w:hanging="420"/>
      </w:pPr>
      <w:rPr>
        <w:rFonts w:hint="eastAsia" w:cs="Times New Roman"/>
      </w:rPr>
    </w:lvl>
    <w:lvl w:ilvl="3" w:tentative="0">
      <w:start w:val="1"/>
      <w:numFmt w:val="decimal"/>
      <w:lvlText w:val="%4."/>
      <w:lvlJc w:val="left"/>
      <w:pPr>
        <w:tabs>
          <w:tab w:val="left" w:pos="604"/>
        </w:tabs>
        <w:ind w:left="604" w:hanging="420"/>
      </w:pPr>
      <w:rPr>
        <w:rFonts w:hint="eastAsia" w:ascii="仿宋_GB2312" w:hAnsi="Times New Roman" w:eastAsia="仿宋_GB2312" w:cs="Times New Roman"/>
        <w:b w:val="0"/>
      </w:rPr>
    </w:lvl>
    <w:lvl w:ilvl="4" w:tentative="0">
      <w:start w:val="1"/>
      <w:numFmt w:val="lowerLetter"/>
      <w:lvlText w:val="%5)"/>
      <w:lvlJc w:val="left"/>
      <w:pPr>
        <w:tabs>
          <w:tab w:val="left" w:pos="1024"/>
        </w:tabs>
        <w:ind w:left="1024" w:hanging="420"/>
      </w:pPr>
      <w:rPr>
        <w:rFonts w:hint="eastAsia" w:cs="Times New Roman"/>
      </w:rPr>
    </w:lvl>
    <w:lvl w:ilvl="5" w:tentative="0">
      <w:start w:val="1"/>
      <w:numFmt w:val="lowerRoman"/>
      <w:lvlText w:val="%6."/>
      <w:lvlJc w:val="right"/>
      <w:pPr>
        <w:tabs>
          <w:tab w:val="left" w:pos="1444"/>
        </w:tabs>
        <w:ind w:left="1444" w:hanging="420"/>
      </w:pPr>
      <w:rPr>
        <w:rFonts w:hint="eastAsia" w:cs="Times New Roman"/>
      </w:rPr>
    </w:lvl>
    <w:lvl w:ilvl="6" w:tentative="0">
      <w:start w:val="1"/>
      <w:numFmt w:val="decimal"/>
      <w:lvlText w:val="%7."/>
      <w:lvlJc w:val="left"/>
      <w:pPr>
        <w:tabs>
          <w:tab w:val="left" w:pos="1864"/>
        </w:tabs>
        <w:ind w:left="1864" w:hanging="420"/>
      </w:pPr>
      <w:rPr>
        <w:rFonts w:hint="eastAsia" w:cs="Times New Roman"/>
      </w:rPr>
    </w:lvl>
    <w:lvl w:ilvl="7" w:tentative="0">
      <w:start w:val="1"/>
      <w:numFmt w:val="lowerLetter"/>
      <w:lvlText w:val="%8)"/>
      <w:lvlJc w:val="left"/>
      <w:pPr>
        <w:tabs>
          <w:tab w:val="left" w:pos="2284"/>
        </w:tabs>
        <w:ind w:left="2284" w:hanging="420"/>
      </w:pPr>
      <w:rPr>
        <w:rFonts w:hint="eastAsia" w:cs="Times New Roman"/>
      </w:rPr>
    </w:lvl>
    <w:lvl w:ilvl="8" w:tentative="0">
      <w:start w:val="1"/>
      <w:numFmt w:val="lowerRoman"/>
      <w:lvlText w:val="%9."/>
      <w:lvlJc w:val="right"/>
      <w:pPr>
        <w:tabs>
          <w:tab w:val="left" w:pos="2704"/>
        </w:tabs>
        <w:ind w:left="2704" w:hanging="420"/>
      </w:pPr>
      <w:rPr>
        <w:rFonts w:hint="eastAsia" w:cs="Times New Roman"/>
      </w:rPr>
    </w:lvl>
  </w:abstractNum>
  <w:abstractNum w:abstractNumId="34">
    <w:nsid w:val="7993DE78"/>
    <w:multiLevelType w:val="singleLevel"/>
    <w:tmpl w:val="7993DE78"/>
    <w:lvl w:ilvl="0" w:tentative="0">
      <w:start w:val="1"/>
      <w:numFmt w:val="chineseCounting"/>
      <w:suff w:val="nothing"/>
      <w:lvlText w:val="（%1）"/>
      <w:lvlJc w:val="left"/>
      <w:rPr>
        <w:rFonts w:hint="eastAsia"/>
      </w:rPr>
    </w:lvl>
  </w:abstractNum>
  <w:num w:numId="1">
    <w:abstractNumId w:val="17"/>
  </w:num>
  <w:num w:numId="2">
    <w:abstractNumId w:val="10"/>
  </w:num>
  <w:num w:numId="3">
    <w:abstractNumId w:val="28"/>
  </w:num>
  <w:num w:numId="4">
    <w:abstractNumId w:val="16"/>
  </w:num>
  <w:num w:numId="5">
    <w:abstractNumId w:val="7"/>
  </w:num>
  <w:num w:numId="6">
    <w:abstractNumId w:val="27"/>
  </w:num>
  <w:num w:numId="7">
    <w:abstractNumId w:val="15"/>
  </w:num>
  <w:num w:numId="8">
    <w:abstractNumId w:val="12"/>
  </w:num>
  <w:num w:numId="9">
    <w:abstractNumId w:val="21"/>
  </w:num>
  <w:num w:numId="10">
    <w:abstractNumId w:val="8"/>
  </w:num>
  <w:num w:numId="11">
    <w:abstractNumId w:val="19"/>
  </w:num>
  <w:num w:numId="12">
    <w:abstractNumId w:val="29"/>
  </w:num>
  <w:num w:numId="13">
    <w:abstractNumId w:val="24"/>
  </w:num>
  <w:num w:numId="14">
    <w:abstractNumId w:val="34"/>
  </w:num>
  <w:num w:numId="15">
    <w:abstractNumId w:val="22"/>
  </w:num>
  <w:num w:numId="16">
    <w:abstractNumId w:val="30"/>
  </w:num>
  <w:num w:numId="17">
    <w:abstractNumId w:val="13"/>
  </w:num>
  <w:num w:numId="18">
    <w:abstractNumId w:val="26"/>
  </w:num>
  <w:num w:numId="19">
    <w:abstractNumId w:val="31"/>
  </w:num>
  <w:num w:numId="20">
    <w:abstractNumId w:val="6"/>
  </w:num>
  <w:num w:numId="21">
    <w:abstractNumId w:val="32"/>
  </w:num>
  <w:num w:numId="22">
    <w:abstractNumId w:val="5"/>
  </w:num>
  <w:num w:numId="23">
    <w:abstractNumId w:val="33"/>
  </w:num>
  <w:num w:numId="24">
    <w:abstractNumId w:val="25"/>
  </w:num>
  <w:num w:numId="25">
    <w:abstractNumId w:val="1"/>
  </w:num>
  <w:num w:numId="26">
    <w:abstractNumId w:val="3"/>
  </w:num>
  <w:num w:numId="27">
    <w:abstractNumId w:val="18"/>
  </w:num>
  <w:num w:numId="28">
    <w:abstractNumId w:val="11"/>
  </w:num>
  <w:num w:numId="29">
    <w:abstractNumId w:val="2"/>
  </w:num>
  <w:num w:numId="30">
    <w:abstractNumId w:val="4"/>
  </w:num>
  <w:num w:numId="31">
    <w:abstractNumId w:val="14"/>
  </w:num>
  <w:num w:numId="32">
    <w:abstractNumId w:val="23"/>
  </w:num>
  <w:num w:numId="33">
    <w:abstractNumId w:val="0"/>
  </w:num>
  <w:num w:numId="34">
    <w:abstractNumId w:val="2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revisionView w:markup="0"/>
  <w:documentProtection w:enforcement="0"/>
  <w:defaultTabStop w:val="420"/>
  <w:hyphenationZone w:val="360"/>
  <w:drawingGridVerticalSpacing w:val="20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Y2IzMWVkOGNiOTBhYTRiY2Q5OTU0ODk3MzRmNjgifQ=="/>
  </w:docVars>
  <w:rsids>
    <w:rsidRoot w:val="009079DE"/>
    <w:rsid w:val="00025BBC"/>
    <w:rsid w:val="00056A2C"/>
    <w:rsid w:val="000C0E20"/>
    <w:rsid w:val="000C4011"/>
    <w:rsid w:val="000E4735"/>
    <w:rsid w:val="001268C4"/>
    <w:rsid w:val="001403D5"/>
    <w:rsid w:val="0014524A"/>
    <w:rsid w:val="00211C69"/>
    <w:rsid w:val="002A05C0"/>
    <w:rsid w:val="00317C56"/>
    <w:rsid w:val="003A1926"/>
    <w:rsid w:val="00431C33"/>
    <w:rsid w:val="004752D9"/>
    <w:rsid w:val="004872D8"/>
    <w:rsid w:val="004C4DEC"/>
    <w:rsid w:val="005A0949"/>
    <w:rsid w:val="006F440A"/>
    <w:rsid w:val="00716D3C"/>
    <w:rsid w:val="00742597"/>
    <w:rsid w:val="00744304"/>
    <w:rsid w:val="007655E1"/>
    <w:rsid w:val="00804958"/>
    <w:rsid w:val="009079DE"/>
    <w:rsid w:val="00964FF8"/>
    <w:rsid w:val="00A00604"/>
    <w:rsid w:val="00AE7B8E"/>
    <w:rsid w:val="00B26C7E"/>
    <w:rsid w:val="00B310DA"/>
    <w:rsid w:val="00B93267"/>
    <w:rsid w:val="00BA6CD9"/>
    <w:rsid w:val="00C355C9"/>
    <w:rsid w:val="00C605FC"/>
    <w:rsid w:val="00C86A53"/>
    <w:rsid w:val="00DC6730"/>
    <w:rsid w:val="00E02A50"/>
    <w:rsid w:val="00E2015F"/>
    <w:rsid w:val="00F828BC"/>
    <w:rsid w:val="00FF52AC"/>
    <w:rsid w:val="01187F0B"/>
    <w:rsid w:val="01863627"/>
    <w:rsid w:val="01FF33E2"/>
    <w:rsid w:val="02D77344"/>
    <w:rsid w:val="031966A5"/>
    <w:rsid w:val="03F16C35"/>
    <w:rsid w:val="03FC02B1"/>
    <w:rsid w:val="05281F2E"/>
    <w:rsid w:val="05B54B1D"/>
    <w:rsid w:val="05CA3A81"/>
    <w:rsid w:val="06600FBD"/>
    <w:rsid w:val="06D93A14"/>
    <w:rsid w:val="06F6047A"/>
    <w:rsid w:val="072C6820"/>
    <w:rsid w:val="07D76617"/>
    <w:rsid w:val="07EE786B"/>
    <w:rsid w:val="081F3F80"/>
    <w:rsid w:val="086B1422"/>
    <w:rsid w:val="09255034"/>
    <w:rsid w:val="0AB01535"/>
    <w:rsid w:val="0B164BA9"/>
    <w:rsid w:val="0B314520"/>
    <w:rsid w:val="0C515452"/>
    <w:rsid w:val="0C831A25"/>
    <w:rsid w:val="0CD936B1"/>
    <w:rsid w:val="0D572ABD"/>
    <w:rsid w:val="0E5153CC"/>
    <w:rsid w:val="0E5F20A7"/>
    <w:rsid w:val="0E7D46CA"/>
    <w:rsid w:val="0EC17CA2"/>
    <w:rsid w:val="0F2D3009"/>
    <w:rsid w:val="0F3D2A78"/>
    <w:rsid w:val="0F866C9D"/>
    <w:rsid w:val="1023520C"/>
    <w:rsid w:val="10851840"/>
    <w:rsid w:val="10954A2E"/>
    <w:rsid w:val="119578F8"/>
    <w:rsid w:val="123D6808"/>
    <w:rsid w:val="12747BE2"/>
    <w:rsid w:val="128D584B"/>
    <w:rsid w:val="12A07619"/>
    <w:rsid w:val="12AA4041"/>
    <w:rsid w:val="134C3538"/>
    <w:rsid w:val="139C3DEB"/>
    <w:rsid w:val="13C82F0C"/>
    <w:rsid w:val="13D96C73"/>
    <w:rsid w:val="13EE3D35"/>
    <w:rsid w:val="14392F74"/>
    <w:rsid w:val="149421E1"/>
    <w:rsid w:val="15784343"/>
    <w:rsid w:val="15A729AA"/>
    <w:rsid w:val="15EE2CB6"/>
    <w:rsid w:val="17A56B63"/>
    <w:rsid w:val="18014DCD"/>
    <w:rsid w:val="191D09BE"/>
    <w:rsid w:val="19FE0E45"/>
    <w:rsid w:val="1A132DD3"/>
    <w:rsid w:val="1B087692"/>
    <w:rsid w:val="1B8F1ADA"/>
    <w:rsid w:val="1BB158C3"/>
    <w:rsid w:val="1C381B57"/>
    <w:rsid w:val="1C9B23B7"/>
    <w:rsid w:val="1CC27A5E"/>
    <w:rsid w:val="1D2A3F26"/>
    <w:rsid w:val="1D5E1083"/>
    <w:rsid w:val="1E2117F6"/>
    <w:rsid w:val="1E427D25"/>
    <w:rsid w:val="1F6157AB"/>
    <w:rsid w:val="1F74294F"/>
    <w:rsid w:val="203E4AC3"/>
    <w:rsid w:val="206D178D"/>
    <w:rsid w:val="20C65A14"/>
    <w:rsid w:val="215A174B"/>
    <w:rsid w:val="21EE18DE"/>
    <w:rsid w:val="220A4786"/>
    <w:rsid w:val="22583C2C"/>
    <w:rsid w:val="2274577D"/>
    <w:rsid w:val="22A41D22"/>
    <w:rsid w:val="25E81CA4"/>
    <w:rsid w:val="267F2167"/>
    <w:rsid w:val="2682189A"/>
    <w:rsid w:val="26E968C2"/>
    <w:rsid w:val="27F4733E"/>
    <w:rsid w:val="283D6A99"/>
    <w:rsid w:val="29134F8C"/>
    <w:rsid w:val="29973D8C"/>
    <w:rsid w:val="29FA12FB"/>
    <w:rsid w:val="2A36295A"/>
    <w:rsid w:val="2BFA7E7D"/>
    <w:rsid w:val="2DC41A2B"/>
    <w:rsid w:val="2DF675DA"/>
    <w:rsid w:val="2E197AB2"/>
    <w:rsid w:val="2E767E2A"/>
    <w:rsid w:val="2EA84A60"/>
    <w:rsid w:val="2EF62D87"/>
    <w:rsid w:val="305D0DC2"/>
    <w:rsid w:val="311D15BE"/>
    <w:rsid w:val="3273253F"/>
    <w:rsid w:val="32753074"/>
    <w:rsid w:val="330907C6"/>
    <w:rsid w:val="335441F6"/>
    <w:rsid w:val="33AF47D8"/>
    <w:rsid w:val="35684798"/>
    <w:rsid w:val="36472DB2"/>
    <w:rsid w:val="368F7834"/>
    <w:rsid w:val="36E9541D"/>
    <w:rsid w:val="371C76DC"/>
    <w:rsid w:val="37F768F8"/>
    <w:rsid w:val="37F820F7"/>
    <w:rsid w:val="387E2C7F"/>
    <w:rsid w:val="39BC216A"/>
    <w:rsid w:val="3A260433"/>
    <w:rsid w:val="3A510FF0"/>
    <w:rsid w:val="3AA43A63"/>
    <w:rsid w:val="3BD15158"/>
    <w:rsid w:val="3BE0519E"/>
    <w:rsid w:val="3BF63796"/>
    <w:rsid w:val="3C0330CF"/>
    <w:rsid w:val="3C235311"/>
    <w:rsid w:val="3CA0385C"/>
    <w:rsid w:val="3CE65A4F"/>
    <w:rsid w:val="3DEF4647"/>
    <w:rsid w:val="3E2A010E"/>
    <w:rsid w:val="3F14584B"/>
    <w:rsid w:val="3F322485"/>
    <w:rsid w:val="3FAE1D3F"/>
    <w:rsid w:val="40004837"/>
    <w:rsid w:val="414D155D"/>
    <w:rsid w:val="418E7EBE"/>
    <w:rsid w:val="419F15BE"/>
    <w:rsid w:val="41BA74E6"/>
    <w:rsid w:val="41CB0023"/>
    <w:rsid w:val="4360461F"/>
    <w:rsid w:val="437E552A"/>
    <w:rsid w:val="43B25232"/>
    <w:rsid w:val="456B3DF4"/>
    <w:rsid w:val="45B541E3"/>
    <w:rsid w:val="45CB03EC"/>
    <w:rsid w:val="46013300"/>
    <w:rsid w:val="47433664"/>
    <w:rsid w:val="48252317"/>
    <w:rsid w:val="49476371"/>
    <w:rsid w:val="49854F32"/>
    <w:rsid w:val="49E84434"/>
    <w:rsid w:val="4AF257D9"/>
    <w:rsid w:val="4B351752"/>
    <w:rsid w:val="4BA27159"/>
    <w:rsid w:val="4C67308A"/>
    <w:rsid w:val="4C6A1F8B"/>
    <w:rsid w:val="4D407E3C"/>
    <w:rsid w:val="4D506730"/>
    <w:rsid w:val="4DBD24A4"/>
    <w:rsid w:val="4DC41E4A"/>
    <w:rsid w:val="4E3A381D"/>
    <w:rsid w:val="4E5C1022"/>
    <w:rsid w:val="4EB47D98"/>
    <w:rsid w:val="4ED478C6"/>
    <w:rsid w:val="4FCA610C"/>
    <w:rsid w:val="50453578"/>
    <w:rsid w:val="50C116F7"/>
    <w:rsid w:val="51F22909"/>
    <w:rsid w:val="52F42824"/>
    <w:rsid w:val="53552BA6"/>
    <w:rsid w:val="53977DDC"/>
    <w:rsid w:val="53D913F6"/>
    <w:rsid w:val="53E20028"/>
    <w:rsid w:val="544F2F02"/>
    <w:rsid w:val="548026C2"/>
    <w:rsid w:val="55721AE1"/>
    <w:rsid w:val="56464FA4"/>
    <w:rsid w:val="57DE3C34"/>
    <w:rsid w:val="58767978"/>
    <w:rsid w:val="598C00C5"/>
    <w:rsid w:val="59C2308C"/>
    <w:rsid w:val="59C249DD"/>
    <w:rsid w:val="59D90227"/>
    <w:rsid w:val="5A6358A0"/>
    <w:rsid w:val="5A6976B7"/>
    <w:rsid w:val="5BCC246F"/>
    <w:rsid w:val="5BF35124"/>
    <w:rsid w:val="5C3E35C2"/>
    <w:rsid w:val="5C485F53"/>
    <w:rsid w:val="5C7D3AA7"/>
    <w:rsid w:val="5CD66066"/>
    <w:rsid w:val="5D1268C1"/>
    <w:rsid w:val="5DC50C3E"/>
    <w:rsid w:val="5E014D93"/>
    <w:rsid w:val="5F5B62C7"/>
    <w:rsid w:val="5F7C6E20"/>
    <w:rsid w:val="5FFA1DC2"/>
    <w:rsid w:val="60651C99"/>
    <w:rsid w:val="609B7A22"/>
    <w:rsid w:val="60B23E4E"/>
    <w:rsid w:val="610C671F"/>
    <w:rsid w:val="62917530"/>
    <w:rsid w:val="63F5294F"/>
    <w:rsid w:val="641A5A4C"/>
    <w:rsid w:val="642A0C5A"/>
    <w:rsid w:val="646914FA"/>
    <w:rsid w:val="65712067"/>
    <w:rsid w:val="65B16214"/>
    <w:rsid w:val="65B5026D"/>
    <w:rsid w:val="65CB129D"/>
    <w:rsid w:val="65FA4047"/>
    <w:rsid w:val="661207DE"/>
    <w:rsid w:val="668027FC"/>
    <w:rsid w:val="66AE11F0"/>
    <w:rsid w:val="673F2F41"/>
    <w:rsid w:val="67C11F46"/>
    <w:rsid w:val="68BB449F"/>
    <w:rsid w:val="68C7084C"/>
    <w:rsid w:val="6A1345E4"/>
    <w:rsid w:val="6A2626B5"/>
    <w:rsid w:val="6A87757E"/>
    <w:rsid w:val="6BA508E8"/>
    <w:rsid w:val="6BF75E92"/>
    <w:rsid w:val="6CB65002"/>
    <w:rsid w:val="6CD023C0"/>
    <w:rsid w:val="6D4410BE"/>
    <w:rsid w:val="6D52267F"/>
    <w:rsid w:val="6FAF5FED"/>
    <w:rsid w:val="6FB026CC"/>
    <w:rsid w:val="70C06575"/>
    <w:rsid w:val="71EE7EDF"/>
    <w:rsid w:val="725C3459"/>
    <w:rsid w:val="73136661"/>
    <w:rsid w:val="73F705D7"/>
    <w:rsid w:val="740D7C93"/>
    <w:rsid w:val="753853DB"/>
    <w:rsid w:val="76CB0C44"/>
    <w:rsid w:val="76E76FA8"/>
    <w:rsid w:val="76F34B7E"/>
    <w:rsid w:val="77414717"/>
    <w:rsid w:val="775A0158"/>
    <w:rsid w:val="77FC4EF7"/>
    <w:rsid w:val="78A15230"/>
    <w:rsid w:val="78E77A48"/>
    <w:rsid w:val="790D6163"/>
    <w:rsid w:val="795A226C"/>
    <w:rsid w:val="79EC5967"/>
    <w:rsid w:val="7A230AC3"/>
    <w:rsid w:val="7A292C40"/>
    <w:rsid w:val="7A493518"/>
    <w:rsid w:val="7A545A3E"/>
    <w:rsid w:val="7AA67B3A"/>
    <w:rsid w:val="7ACE65BA"/>
    <w:rsid w:val="7AE50058"/>
    <w:rsid w:val="7B172437"/>
    <w:rsid w:val="7B2E562F"/>
    <w:rsid w:val="7B561AF0"/>
    <w:rsid w:val="7BE70148"/>
    <w:rsid w:val="7BF83865"/>
    <w:rsid w:val="7C2A4F45"/>
    <w:rsid w:val="7C4D7EFD"/>
    <w:rsid w:val="7C684872"/>
    <w:rsid w:val="7CFC4F10"/>
    <w:rsid w:val="7D7F51E6"/>
    <w:rsid w:val="7DB72945"/>
    <w:rsid w:val="7E7755AD"/>
    <w:rsid w:val="7E7B1140"/>
    <w:rsid w:val="7E90784F"/>
    <w:rsid w:val="7E9F4711"/>
    <w:rsid w:val="7ECB3D19"/>
    <w:rsid w:val="7ECB62DF"/>
    <w:rsid w:val="7EE67A45"/>
    <w:rsid w:val="7F2930E8"/>
    <w:rsid w:val="7FF7D601"/>
    <w:rsid w:val="7FFD9380"/>
    <w:rsid w:val="BFEE9761"/>
    <w:rsid w:val="DEDEC4EA"/>
    <w:rsid w:val="DFFFE6E8"/>
    <w:rsid w:val="EF3DA9C9"/>
    <w:rsid w:val="FCAF936D"/>
    <w:rsid w:val="FEF7E074"/>
    <w:rsid w:val="FEFF3DF7"/>
    <w:rsid w:val="FFDE7B98"/>
    <w:rsid w:val="FFF583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0"/>
      <w:szCs w:val="22"/>
      <w:lang w:val="en-US" w:eastAsia="zh-CN" w:bidi="ar-SA"/>
    </w:rPr>
  </w:style>
  <w:style w:type="paragraph" w:styleId="3">
    <w:name w:val="heading 1"/>
    <w:basedOn w:val="1"/>
    <w:next w:val="1"/>
    <w:qFormat/>
    <w:uiPriority w:val="0"/>
    <w:pPr>
      <w:keepNext/>
      <w:keepLines/>
      <w:ind w:firstLine="0" w:firstLineChars="0"/>
      <w:jc w:val="center"/>
      <w:outlineLvl w:val="0"/>
    </w:pPr>
    <w:rPr>
      <w:rFonts w:eastAsia="方正小标宋简体"/>
      <w:bCs/>
      <w:kern w:val="44"/>
      <w:sz w:val="36"/>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character" w:styleId="11">
    <w:name w:val="Hyperlink"/>
    <w:basedOn w:val="10"/>
    <w:unhideWhenUsed/>
    <w:qFormat/>
    <w:uiPriority w:val="99"/>
    <w:rPr>
      <w:color w:val="0563C1"/>
      <w:u w:val="single"/>
    </w:rPr>
  </w:style>
  <w:style w:type="character" w:customStyle="1" w:styleId="12">
    <w:name w:val="批注框文本 Char"/>
    <w:basedOn w:val="10"/>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33227</Words>
  <Characters>33297</Characters>
  <Lines>202</Lines>
  <Paragraphs>57</Paragraphs>
  <TotalTime>47</TotalTime>
  <ScaleCrop>false</ScaleCrop>
  <LinksUpToDate>false</LinksUpToDate>
  <CharactersWithSpaces>33445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2021-11-27T08:05:00Z</dcterms:created>
  <dc:creator>监管司</dc:creator>
  <cp:lastModifiedBy>苏淑仪</cp:lastModifiedBy>
  <cp:lastPrinted>2024-01-21T15:00:00Z</cp:lastPrinted>
  <dcterms:modified xsi:type="dcterms:W3CDTF">2024-04-09T01:39:20Z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DDC596249930748E27CC03664447B5E7</vt:lpwstr>
  </property>
</Properties>
</file>