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outlineLvl w:val="0"/>
        <w:rPr>
          <w:rFonts w:hint="eastAsia" w:ascii="黑体" w:hAnsi="黑体" w:eastAsia="黑体" w:cs="黑体"/>
          <w:spacing w:val="0"/>
          <w:w w:val="100"/>
          <w:sz w:val="32"/>
          <w:szCs w:val="32"/>
          <w:highlight w:val="none"/>
          <w:lang w:val="en-US" w:eastAsia="zh-CN"/>
        </w:rPr>
      </w:pPr>
      <w:r>
        <w:rPr>
          <w:rFonts w:hint="eastAsia" w:ascii="黑体" w:hAnsi="黑体" w:eastAsia="黑体" w:cs="黑体"/>
          <w:spacing w:val="0"/>
          <w:w w:val="100"/>
          <w:sz w:val="32"/>
          <w:szCs w:val="32"/>
          <w:highlight w:val="none"/>
        </w:rPr>
        <w:t>桂电调度〔2025〕7号附件</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pacing w:val="0"/>
          <w:w w:val="100"/>
          <w:sz w:val="32"/>
          <w:szCs w:val="32"/>
          <w:highlight w:val="none"/>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_GBK" w:hAnsi="方正小标宋_GBK" w:eastAsia="方正小标宋_GBK" w:cs="方正小标宋_GBK"/>
          <w:spacing w:val="0"/>
          <w:w w:val="100"/>
          <w:sz w:val="44"/>
          <w:szCs w:val="44"/>
          <w:highlight w:val="none"/>
        </w:rPr>
      </w:pPr>
      <w:r>
        <w:rPr>
          <w:rFonts w:hint="eastAsia" w:ascii="方正小标宋_GBK" w:hAnsi="方正小标宋_GBK" w:eastAsia="方正小标宋_GBK" w:cs="方正小标宋_GBK"/>
          <w:spacing w:val="0"/>
          <w:w w:val="100"/>
          <w:sz w:val="44"/>
          <w:szCs w:val="44"/>
          <w:highlight w:val="none"/>
        </w:rPr>
        <w:t>广西电网调峰调度规则（试行）</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pacing w:val="0"/>
          <w:w w:val="100"/>
          <w:sz w:val="32"/>
          <w:szCs w:val="32"/>
          <w:highlight w:val="none"/>
        </w:rPr>
      </w:pP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9" w:firstLineChars="203"/>
        <w:textAlignment w:val="auto"/>
        <w:rPr>
          <w:rFonts w:hint="eastAsia"/>
          <w:spacing w:val="0"/>
          <w:w w:val="100"/>
          <w:highlight w:val="none"/>
          <w:lang w:val="en-US"/>
        </w:rPr>
      </w:pPr>
      <w:r>
        <w:rPr>
          <w:rFonts w:hint="eastAsia"/>
          <w:spacing w:val="0"/>
          <w:w w:val="100"/>
          <w:highlight w:val="none"/>
          <w:lang w:val="en-US"/>
        </w:rPr>
        <w:t>为稳步提升可</w:t>
      </w:r>
      <w:bookmarkStart w:id="0" w:name="_GoBack"/>
      <w:bookmarkEnd w:id="0"/>
      <w:r>
        <w:rPr>
          <w:rFonts w:hint="eastAsia"/>
          <w:spacing w:val="0"/>
          <w:w w:val="100"/>
          <w:highlight w:val="none"/>
          <w:lang w:val="en-US"/>
        </w:rPr>
        <w:t>再生能源消纳规模，</w:t>
      </w:r>
      <w:r>
        <w:rPr>
          <w:rFonts w:hint="eastAsia"/>
          <w:spacing w:val="0"/>
          <w:w w:val="100"/>
          <w:highlight w:val="none"/>
        </w:rPr>
        <w:t>推动</w:t>
      </w:r>
      <w:r>
        <w:rPr>
          <w:spacing w:val="0"/>
          <w:w w:val="100"/>
          <w:highlight w:val="none"/>
        </w:rPr>
        <w:t>实现碳达峰碳中和目标</w:t>
      </w:r>
      <w:r>
        <w:rPr>
          <w:rFonts w:hint="eastAsia"/>
          <w:spacing w:val="0"/>
          <w:w w:val="100"/>
          <w:highlight w:val="none"/>
        </w:rPr>
        <w:t>，根</w:t>
      </w:r>
      <w:r>
        <w:rPr>
          <w:rFonts w:hint="eastAsia"/>
          <w:spacing w:val="0"/>
          <w:w w:val="100"/>
          <w:highlight w:val="none"/>
          <w:lang w:val="en-US"/>
        </w:rPr>
        <w:t>据国家和自治区相关政策规定，结合我区电力系统实际运行调度情况，制定本规则。</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0"/>
        <w:rPr>
          <w:rFonts w:hint="eastAsia" w:ascii="黑体" w:eastAsia="黑体"/>
          <w:spacing w:val="0"/>
          <w:w w:val="100"/>
          <w:highlight w:val="none"/>
          <w:lang w:val="en-US"/>
        </w:rPr>
      </w:pPr>
      <w:r>
        <w:rPr>
          <w:rFonts w:hint="eastAsia" w:ascii="黑体" w:eastAsia="黑体"/>
          <w:spacing w:val="0"/>
          <w:w w:val="100"/>
          <w:highlight w:val="none"/>
          <w:lang w:val="en-US"/>
        </w:rPr>
        <w:t>一、适用范围</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本规则适用于非电力现货市场运行期间的各类电源调峰调度安排。电力现货市场运行期间（含试运行阶段），“报量报价”电源发电调峰调度安排根据电力现货市场出清结果执行，非“报量报价”电源按本规则执行。</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0"/>
        <w:rPr>
          <w:rFonts w:hint="eastAsia" w:ascii="黑体" w:eastAsia="黑体"/>
          <w:spacing w:val="0"/>
          <w:w w:val="100"/>
          <w:highlight w:val="none"/>
          <w:lang w:val="en-US"/>
        </w:rPr>
      </w:pPr>
      <w:r>
        <w:rPr>
          <w:rFonts w:hint="eastAsia" w:ascii="黑体" w:eastAsia="黑体"/>
          <w:spacing w:val="0"/>
          <w:w w:val="100"/>
          <w:highlight w:val="none"/>
          <w:lang w:val="en-US"/>
        </w:rPr>
        <w:t>二、总体原则</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在保障广西电网安全稳定运行和电力稳定可靠供应前提下，以促进可再生能源消纳为导向，落实自治区能源局制定的新能源利用率目标，按照“公平、公正、公开”原则，对各类</w:t>
      </w:r>
      <w:r>
        <w:rPr>
          <w:rFonts w:hint="eastAsia"/>
          <w:spacing w:val="-6"/>
          <w:w w:val="100"/>
          <w:sz w:val="32"/>
          <w:highlight w:val="none"/>
          <w:lang w:val="en-US"/>
        </w:rPr>
        <w:t>电力资源进行调峰调度，统筹做好发电安排与可再生能源消纳</w:t>
      </w:r>
      <w:r>
        <w:rPr>
          <w:rFonts w:hint="eastAsia"/>
          <w:spacing w:val="0"/>
          <w:w w:val="100"/>
          <w:highlight w:val="none"/>
          <w:lang w:val="en-US"/>
        </w:rPr>
        <w:t>。</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0"/>
        <w:rPr>
          <w:rFonts w:hint="eastAsia" w:ascii="黑体" w:eastAsia="黑体"/>
          <w:spacing w:val="0"/>
          <w:w w:val="100"/>
          <w:highlight w:val="none"/>
          <w:lang w:val="en-US"/>
        </w:rPr>
      </w:pPr>
      <w:r>
        <w:rPr>
          <w:rFonts w:hint="eastAsia" w:ascii="黑体" w:eastAsia="黑体"/>
          <w:spacing w:val="0"/>
          <w:w w:val="100"/>
          <w:highlight w:val="none"/>
          <w:lang w:val="en-US"/>
        </w:rPr>
        <w:t>三、具体规则</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spacing w:val="0"/>
          <w:w w:val="100"/>
          <w:highlight w:val="none"/>
          <w:lang w:val="en-US"/>
        </w:rPr>
      </w:pPr>
      <w:r>
        <w:rPr>
          <w:rFonts w:hint="eastAsia"/>
          <w:spacing w:val="0"/>
          <w:w w:val="100"/>
          <w:highlight w:val="none"/>
          <w:lang w:val="en-US"/>
        </w:rPr>
        <w:t>当电网出现调峰需求时，按照以下次序开展发电调峰调度:先采取常规调节手段，再到电力辅助服务市场化手段，其次执行应急协调手段，最后采取限制可再生能源发电出力手段。具体为：</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eastAsia" w:ascii="楷体_GB2312" w:hAnsi="楷体_GB2312" w:eastAsia="楷体_GB2312" w:cs="楷体_GB2312"/>
          <w:b w:val="0"/>
          <w:bCs w:val="0"/>
          <w:spacing w:val="0"/>
          <w:w w:val="100"/>
          <w:highlight w:val="none"/>
          <w:lang w:val="en-US"/>
        </w:rPr>
      </w:pPr>
      <w:r>
        <w:rPr>
          <w:rFonts w:hint="eastAsia" w:ascii="楷体_GB2312" w:hAnsi="楷体_GB2312" w:eastAsia="楷体_GB2312" w:cs="楷体_GB2312"/>
          <w:b w:val="0"/>
          <w:bCs w:val="0"/>
          <w:spacing w:val="0"/>
          <w:w w:val="100"/>
          <w:highlight w:val="none"/>
          <w:lang w:val="en-US"/>
        </w:rPr>
        <w:t>（一）常规调节手段</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1.调用水电机组参与无偿调峰。在不弃水前提下，经综合考虑上下游来水情况，以及兼顾考虑备用、调频、调压等电网运行基本需求和防汛、生态、航运等社会需求，由广西电网电力调度控制中心（以下简称广西中调）会同各设区市电力调度机构，安排具备调节能力的水电机组参与系统调峰。对已失去调节能力的水电机组，原则上按实际来水情况运行。</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sz w:val="32"/>
          <w:highlight w:val="none"/>
          <w:lang w:val="en-US"/>
        </w:rPr>
      </w:pPr>
      <w:r>
        <w:rPr>
          <w:rFonts w:hint="eastAsia"/>
          <w:spacing w:val="0"/>
          <w:w w:val="100"/>
          <w:sz w:val="32"/>
          <w:highlight w:val="none"/>
          <w:lang w:val="en-US"/>
        </w:rPr>
        <w:t>2.在无偿调峰负荷区间，调用煤电、燃气机组降低发电出力参与调峰。煤电机组调节下限值，原则上取供热最低保障负荷与50%负荷率中的高者；燃气机组调节下限值，原则上取供热最低保障负荷。</w:t>
      </w:r>
      <w:r>
        <w:rPr>
          <w:rFonts w:hint="eastAsia"/>
          <w:spacing w:val="0"/>
          <w:w w:val="100"/>
          <w:sz w:val="32"/>
          <w:highlight w:val="none"/>
          <w:lang w:val="en-US" w:eastAsia="zh-CN"/>
        </w:rPr>
        <w:t>(根据南方区域电力辅助服务管理实施细则，煤电机组有偿调峰基准值为额定容量50%，煤电机组100%至50%额定容量范围作为基本调峰区间由并网煤电机组义务提供)</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3.调用</w:t>
      </w:r>
      <w:r>
        <w:rPr>
          <w:rFonts w:hint="eastAsia"/>
          <w:spacing w:val="0"/>
          <w:w w:val="100"/>
          <w:highlight w:val="none"/>
        </w:rPr>
        <w:t>未参与</w:t>
      </w:r>
      <w:r>
        <w:rPr>
          <w:rFonts w:hint="eastAsia"/>
          <w:spacing w:val="0"/>
          <w:w w:val="100"/>
          <w:highlight w:val="none"/>
          <w:lang w:val="en-US"/>
        </w:rPr>
        <w:t>调峰辅助服务市场化交易</w:t>
      </w:r>
      <w:r>
        <w:rPr>
          <w:rFonts w:hint="eastAsia"/>
          <w:spacing w:val="0"/>
          <w:w w:val="100"/>
          <w:highlight w:val="none"/>
        </w:rPr>
        <w:t>的独立储能充电调峰。在条件具备的情况下，兼顾储能经济性，独立储能电站按每日“一充一放”运行，必要时按每日“两充两放”运行。</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rPr>
      </w:pPr>
      <w:r>
        <w:rPr>
          <w:rFonts w:hint="eastAsia"/>
          <w:spacing w:val="0"/>
          <w:w w:val="100"/>
          <w:highlight w:val="none"/>
          <w:lang w:val="en-US"/>
        </w:rPr>
        <w:t>4.</w:t>
      </w:r>
      <w:r>
        <w:rPr>
          <w:rFonts w:hint="eastAsia"/>
          <w:spacing w:val="0"/>
          <w:w w:val="100"/>
          <w:highlight w:val="none"/>
        </w:rPr>
        <w:t>调用</w:t>
      </w:r>
      <w:r>
        <w:rPr>
          <w:rFonts w:hint="eastAsia"/>
          <w:spacing w:val="0"/>
          <w:w w:val="100"/>
          <w:highlight w:val="none"/>
          <w:lang w:val="en-US"/>
        </w:rPr>
        <w:t>新能源发电项目配套建设</w:t>
      </w:r>
      <w:r>
        <w:rPr>
          <w:rFonts w:hint="eastAsia"/>
          <w:spacing w:val="0"/>
          <w:w w:val="100"/>
          <w:highlight w:val="none"/>
        </w:rPr>
        <w:t>储能</w:t>
      </w:r>
      <w:r>
        <w:rPr>
          <w:rFonts w:hint="eastAsia"/>
          <w:spacing w:val="0"/>
          <w:w w:val="100"/>
          <w:highlight w:val="none"/>
          <w:lang w:val="en-US"/>
        </w:rPr>
        <w:t>设施</w:t>
      </w:r>
      <w:r>
        <w:rPr>
          <w:rFonts w:hint="eastAsia"/>
          <w:spacing w:val="0"/>
          <w:w w:val="100"/>
          <w:highlight w:val="none"/>
        </w:rPr>
        <w:t>、</w:t>
      </w:r>
      <w:r>
        <w:rPr>
          <w:rFonts w:hint="eastAsia"/>
          <w:spacing w:val="0"/>
          <w:w w:val="100"/>
          <w:highlight w:val="none"/>
          <w:lang w:val="en-US"/>
        </w:rPr>
        <w:t>新能源</w:t>
      </w:r>
      <w:r>
        <w:rPr>
          <w:rFonts w:hint="eastAsia"/>
          <w:spacing w:val="0"/>
          <w:w w:val="100"/>
          <w:highlight w:val="none"/>
        </w:rPr>
        <w:t>一体化</w:t>
      </w:r>
      <w:r>
        <w:rPr>
          <w:rFonts w:hint="eastAsia"/>
          <w:spacing w:val="0"/>
          <w:w w:val="100"/>
          <w:highlight w:val="none"/>
          <w:lang w:val="en-US"/>
        </w:rPr>
        <w:t>项目</w:t>
      </w:r>
      <w:r>
        <w:rPr>
          <w:rFonts w:hint="eastAsia"/>
          <w:spacing w:val="0"/>
          <w:w w:val="100"/>
          <w:highlight w:val="none"/>
        </w:rPr>
        <w:t>储能</w:t>
      </w:r>
      <w:r>
        <w:rPr>
          <w:rFonts w:hint="eastAsia"/>
          <w:spacing w:val="0"/>
          <w:w w:val="100"/>
          <w:highlight w:val="none"/>
          <w:lang w:val="en-US"/>
        </w:rPr>
        <w:t>设施，</w:t>
      </w:r>
      <w:r>
        <w:rPr>
          <w:rFonts w:hint="eastAsia"/>
          <w:spacing w:val="0"/>
          <w:w w:val="100"/>
          <w:highlight w:val="none"/>
        </w:rPr>
        <w:t>在不用主网电的前提下按最大能力充电调峰。</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5.根据调管关系调用或申请南方电网电力调度控制中心（以下简称南网总调）按照综合利用小时数趋同的原则，调用抽水蓄能电站进行调峰。因调峰安排抽水蓄能电站开泵运行后，后续应在负荷高峰时段按照“以抽定发”原则安排抽水蓄能发电计划。</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eastAsia="仿宋_GB2312"/>
          <w:spacing w:val="0"/>
          <w:w w:val="100"/>
          <w:highlight w:val="none"/>
          <w:lang w:val="en-US" w:eastAsia="zh-CN"/>
        </w:rPr>
      </w:pPr>
      <w:r>
        <w:rPr>
          <w:rFonts w:hint="eastAsia"/>
          <w:spacing w:val="0"/>
          <w:w w:val="100"/>
          <w:highlight w:val="none"/>
          <w:lang w:val="en-US"/>
        </w:rPr>
        <w:t>6.根据未来两周电力供需形势，按电力市场化交易合同完成率由高至低依次安排煤电机组停机备用。</w:t>
      </w:r>
      <w:r>
        <w:rPr>
          <w:rFonts w:hint="eastAsia"/>
          <w:spacing w:val="0"/>
          <w:w w:val="100"/>
          <w:highlight w:val="none"/>
          <w:lang w:val="en-US" w:eastAsia="zh-CN"/>
        </w:rPr>
        <w:t>安排已完成电力市场化交易合同的</w:t>
      </w:r>
      <w:r>
        <w:rPr>
          <w:rFonts w:hint="eastAsia"/>
          <w:spacing w:val="0"/>
          <w:w w:val="100"/>
          <w:highlight w:val="none"/>
          <w:lang w:val="en-US"/>
        </w:rPr>
        <w:t>非安全约束</w:t>
      </w:r>
      <w:r>
        <w:rPr>
          <w:rFonts w:hint="eastAsia"/>
          <w:spacing w:val="0"/>
          <w:w w:val="100"/>
          <w:highlight w:val="none"/>
          <w:lang w:val="en-US" w:eastAsia="zh-CN"/>
        </w:rPr>
        <w:t>、非供热</w:t>
      </w:r>
      <w:r>
        <w:rPr>
          <w:rFonts w:hint="eastAsia"/>
          <w:spacing w:val="0"/>
          <w:w w:val="100"/>
          <w:highlight w:val="none"/>
          <w:lang w:val="en-US"/>
        </w:rPr>
        <w:t>燃煤</w:t>
      </w:r>
      <w:r>
        <w:rPr>
          <w:rFonts w:hint="eastAsia"/>
          <w:spacing w:val="0"/>
          <w:w w:val="100"/>
          <w:highlight w:val="none"/>
          <w:lang w:val="en-US" w:eastAsia="zh-CN"/>
        </w:rPr>
        <w:t>电厂全厂停机。</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7.调整省间送受电计划。申请南网总调调整“西电计划”“云电送桂”等跨省区送受电计划进行调峰。</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ascii="楷体_GB2312" w:hAnsi="楷体_GB2312" w:eastAsia="楷体_GB2312" w:cs="楷体_GB2312"/>
          <w:b w:val="0"/>
          <w:bCs w:val="0"/>
          <w:spacing w:val="0"/>
          <w:w w:val="100"/>
          <w:highlight w:val="none"/>
          <w:lang w:val="en-US"/>
        </w:rPr>
      </w:pPr>
      <w:r>
        <w:rPr>
          <w:rFonts w:hint="eastAsia" w:ascii="楷体_GB2312" w:hAnsi="楷体_GB2312" w:eastAsia="楷体_GB2312" w:cs="楷体_GB2312"/>
          <w:b w:val="0"/>
          <w:bCs w:val="0"/>
          <w:spacing w:val="0"/>
          <w:w w:val="100"/>
          <w:highlight w:val="none"/>
          <w:lang w:val="en-US"/>
        </w:rPr>
        <w:t>（二）电力</w:t>
      </w:r>
      <w:r>
        <w:rPr>
          <w:rFonts w:hint="eastAsia" w:ascii="楷体_GB2312" w:hAnsi="楷体_GB2312" w:eastAsia="楷体_GB2312" w:cs="楷体_GB2312"/>
          <w:b w:val="0"/>
          <w:bCs w:val="0"/>
          <w:spacing w:val="0"/>
          <w:w w:val="100"/>
          <w:highlight w:val="none"/>
          <w:lang w:val="en-US" w:eastAsia="zh-CN"/>
        </w:rPr>
        <w:t>辅助服务</w:t>
      </w:r>
      <w:r>
        <w:rPr>
          <w:rFonts w:hint="eastAsia" w:ascii="楷体_GB2312" w:hAnsi="楷体_GB2312" w:eastAsia="楷体_GB2312" w:cs="楷体_GB2312"/>
          <w:b w:val="0"/>
          <w:bCs w:val="0"/>
          <w:spacing w:val="0"/>
          <w:w w:val="100"/>
          <w:highlight w:val="none"/>
          <w:lang w:val="en-US"/>
        </w:rPr>
        <w:t>市场化手段</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default" w:eastAsia="仿宋_GB2312"/>
          <w:spacing w:val="0"/>
          <w:w w:val="100"/>
          <w:highlight w:val="none"/>
          <w:lang w:val="en-US" w:eastAsia="zh-CN"/>
        </w:rPr>
      </w:pPr>
      <w:r>
        <w:rPr>
          <w:rFonts w:hint="eastAsia"/>
          <w:spacing w:val="0"/>
          <w:w w:val="100"/>
          <w:highlight w:val="none"/>
          <w:lang w:val="en-US"/>
        </w:rPr>
        <w:t>1.调峰市场深度</w:t>
      </w:r>
      <w:r>
        <w:rPr>
          <w:rFonts w:hint="eastAsia"/>
          <w:spacing w:val="0"/>
          <w:w w:val="100"/>
          <w:highlight w:val="none"/>
        </w:rPr>
        <w:t>调峰。</w:t>
      </w:r>
      <w:r>
        <w:rPr>
          <w:rFonts w:hint="eastAsia"/>
          <w:spacing w:val="0"/>
          <w:w w:val="100"/>
          <w:highlight w:val="none"/>
          <w:lang w:val="en-US"/>
        </w:rPr>
        <w:t>煤电</w:t>
      </w:r>
      <w:r>
        <w:rPr>
          <w:rFonts w:hint="eastAsia"/>
          <w:spacing w:val="0"/>
          <w:w w:val="100"/>
          <w:highlight w:val="none"/>
        </w:rPr>
        <w:t>机组、独立储能</w:t>
      </w:r>
      <w:r>
        <w:rPr>
          <w:rFonts w:hint="eastAsia"/>
          <w:spacing w:val="0"/>
          <w:w w:val="100"/>
          <w:highlight w:val="none"/>
          <w:lang w:val="en-US"/>
        </w:rPr>
        <w:t>设施</w:t>
      </w:r>
      <w:r>
        <w:rPr>
          <w:rFonts w:hint="eastAsia"/>
          <w:spacing w:val="0"/>
          <w:w w:val="100"/>
          <w:highlight w:val="none"/>
        </w:rPr>
        <w:t>、</w:t>
      </w:r>
      <w:r>
        <w:rPr>
          <w:rFonts w:hint="eastAsia"/>
          <w:spacing w:val="0"/>
          <w:w w:val="100"/>
          <w:highlight w:val="none"/>
          <w:lang w:val="en-US"/>
        </w:rPr>
        <w:t>需求响应资源</w:t>
      </w:r>
      <w:r>
        <w:rPr>
          <w:rFonts w:hint="eastAsia"/>
          <w:spacing w:val="0"/>
          <w:w w:val="100"/>
          <w:highlight w:val="none"/>
        </w:rPr>
        <w:t>聚合</w:t>
      </w:r>
      <w:r>
        <w:rPr>
          <w:rFonts w:hint="eastAsia"/>
          <w:spacing w:val="0"/>
          <w:w w:val="100"/>
          <w:highlight w:val="none"/>
          <w:lang w:val="en-US"/>
        </w:rPr>
        <w:t>体</w:t>
      </w:r>
      <w:r>
        <w:rPr>
          <w:rFonts w:hint="eastAsia"/>
          <w:spacing w:val="0"/>
          <w:w w:val="100"/>
          <w:highlight w:val="none"/>
        </w:rPr>
        <w:t>等可调节资源，按照市场交易规则</w:t>
      </w:r>
      <w:r>
        <w:rPr>
          <w:rFonts w:hint="eastAsia"/>
          <w:spacing w:val="0"/>
          <w:w w:val="100"/>
          <w:highlight w:val="none"/>
          <w:lang w:val="en-US"/>
        </w:rPr>
        <w:t>进行深度调峰</w:t>
      </w:r>
      <w:r>
        <w:rPr>
          <w:rFonts w:hint="eastAsia"/>
          <w:spacing w:val="0"/>
          <w:w w:val="100"/>
          <w:highlight w:val="none"/>
          <w:lang w:val="en-US" w:eastAsia="zh-CN"/>
        </w:rPr>
        <w:t>。</w:t>
      </w:r>
      <w:r>
        <w:rPr>
          <w:rFonts w:hint="eastAsia"/>
          <w:color w:val="auto"/>
          <w:spacing w:val="0"/>
          <w:w w:val="100"/>
          <w:highlight w:val="none"/>
          <w:lang w:val="en-US" w:eastAsia="zh-CN"/>
        </w:rPr>
        <w:t>（对于电网调峰时段煤电机组超过50%额定容量出力的电量，按市场规则执行相应费用分摊）</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2.调峰市场启停调峰。煤电机组</w:t>
      </w:r>
      <w:r>
        <w:rPr>
          <w:rFonts w:hint="eastAsia"/>
          <w:spacing w:val="0"/>
          <w:w w:val="100"/>
          <w:highlight w:val="none"/>
        </w:rPr>
        <w:t>、燃气机组按照市场交易规则</w:t>
      </w:r>
      <w:r>
        <w:rPr>
          <w:rFonts w:hint="eastAsia"/>
          <w:spacing w:val="0"/>
          <w:w w:val="100"/>
          <w:highlight w:val="none"/>
          <w:lang w:val="en-US"/>
        </w:rPr>
        <w:t>进行启停调峰。</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spacing w:val="0"/>
          <w:w w:val="100"/>
          <w:highlight w:val="none"/>
          <w:lang w:val="en-US"/>
        </w:rPr>
      </w:pPr>
      <w:r>
        <w:rPr>
          <w:rFonts w:hint="eastAsia"/>
          <w:spacing w:val="0"/>
          <w:w w:val="100"/>
          <w:highlight w:val="none"/>
          <w:lang w:val="en-US"/>
        </w:rPr>
        <w:t>3.低谷富余电力消纳交易调峰。市场用户按交易规则通过低谷富余电力消纳交易参与调峰。</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eastAsia" w:ascii="楷体_GB2312" w:hAnsi="楷体_GB2312" w:eastAsia="楷体_GB2312" w:cs="楷体_GB2312"/>
          <w:b w:val="0"/>
          <w:bCs w:val="0"/>
          <w:spacing w:val="0"/>
          <w:w w:val="100"/>
          <w:highlight w:val="none"/>
          <w:lang w:val="en-US"/>
        </w:rPr>
      </w:pPr>
      <w:r>
        <w:rPr>
          <w:rFonts w:hint="eastAsia" w:ascii="楷体_GB2312" w:hAnsi="楷体_GB2312" w:eastAsia="楷体_GB2312" w:cs="楷体_GB2312"/>
          <w:b w:val="0"/>
          <w:bCs w:val="0"/>
          <w:spacing w:val="0"/>
          <w:w w:val="100"/>
          <w:highlight w:val="none"/>
          <w:lang w:val="en-US"/>
        </w:rPr>
        <w:t>（三）应急协调手段</w:t>
      </w:r>
    </w:p>
    <w:p>
      <w:pPr>
        <w:pStyle w:val="3"/>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textAlignment w:val="auto"/>
        <w:rPr>
          <w:rFonts w:hint="eastAsia" w:eastAsia="仿宋_GB2312"/>
          <w:spacing w:val="0"/>
          <w:w w:val="100"/>
          <w:highlight w:val="none"/>
          <w:lang w:val="en-US" w:eastAsia="zh-CN"/>
        </w:rPr>
      </w:pPr>
      <w:r>
        <w:rPr>
          <w:rFonts w:hint="eastAsia"/>
          <w:spacing w:val="0"/>
          <w:w w:val="100"/>
          <w:highlight w:val="none"/>
          <w:lang w:val="en-US"/>
        </w:rPr>
        <w:t>1.</w:t>
      </w:r>
      <w:r>
        <w:rPr>
          <w:rFonts w:hint="eastAsia"/>
          <w:b w:val="0"/>
          <w:bCs w:val="0"/>
          <w:spacing w:val="0"/>
          <w:w w:val="100"/>
          <w:highlight w:val="none"/>
          <w:lang w:val="en-US"/>
        </w:rPr>
        <w:t>充分调用（一）、（二）手段中仍有剩余调节能力的资源</w:t>
      </w:r>
      <w:r>
        <w:rPr>
          <w:rFonts w:hint="eastAsia"/>
          <w:b w:val="0"/>
          <w:bCs w:val="0"/>
          <w:spacing w:val="0"/>
          <w:w w:val="100"/>
          <w:highlight w:val="none"/>
          <w:lang w:val="en-US" w:eastAsia="zh-CN"/>
        </w:rPr>
        <w:t>。</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spacing w:val="0"/>
          <w:w w:val="100"/>
          <w:highlight w:val="none"/>
          <w:lang w:val="en-US"/>
        </w:rPr>
      </w:pPr>
      <w:r>
        <w:rPr>
          <w:rFonts w:hint="eastAsia"/>
          <w:spacing w:val="0"/>
          <w:w w:val="100"/>
          <w:highlight w:val="none"/>
          <w:lang w:val="en-US" w:eastAsia="zh-CN"/>
        </w:rPr>
        <w:t>2</w:t>
      </w:r>
      <w:r>
        <w:rPr>
          <w:rFonts w:hint="eastAsia"/>
          <w:spacing w:val="0"/>
          <w:w w:val="100"/>
          <w:highlight w:val="none"/>
          <w:lang w:val="en-US"/>
        </w:rPr>
        <w:t>.申请南网总调安排核电机组降功率运行。</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eastAsia="zh-CN"/>
        </w:rPr>
        <w:t>3</w:t>
      </w:r>
      <w:r>
        <w:rPr>
          <w:rFonts w:hint="eastAsia"/>
          <w:spacing w:val="0"/>
          <w:w w:val="100"/>
          <w:highlight w:val="none"/>
          <w:lang w:val="en-US"/>
        </w:rPr>
        <w:t>.申请南网总调启动跨省区电力应急调度。</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eastAsia="zh-CN"/>
        </w:rPr>
        <w:t>4</w:t>
      </w:r>
      <w:r>
        <w:rPr>
          <w:rFonts w:hint="eastAsia"/>
          <w:spacing w:val="0"/>
          <w:w w:val="100"/>
          <w:highlight w:val="none"/>
          <w:lang w:val="en-US"/>
        </w:rPr>
        <w:t>.</w:t>
      </w:r>
      <w:r>
        <w:rPr>
          <w:rFonts w:hint="eastAsia"/>
          <w:spacing w:val="0"/>
          <w:w w:val="100"/>
          <w:highlight w:val="none"/>
          <w:lang w:val="en-US" w:eastAsia="zh-CN"/>
        </w:rPr>
        <w:t>市场化电量未完成的</w:t>
      </w:r>
      <w:r>
        <w:rPr>
          <w:rFonts w:hint="eastAsia"/>
          <w:spacing w:val="0"/>
          <w:w w:val="100"/>
          <w:highlight w:val="none"/>
          <w:lang w:val="en-US"/>
        </w:rPr>
        <w:t>煤电机组应急停机。按电力市场化交易合同完成率由高至低依次安排非安全约束、非供热</w:t>
      </w:r>
      <w:r>
        <w:rPr>
          <w:rFonts w:hint="eastAsia"/>
          <w:spacing w:val="0"/>
          <w:w w:val="100"/>
          <w:highlight w:val="none"/>
          <w:lang w:val="en-US" w:eastAsia="zh-CN"/>
        </w:rPr>
        <w:t>的市场化电量未完成的</w:t>
      </w:r>
      <w:r>
        <w:rPr>
          <w:rFonts w:hint="eastAsia"/>
          <w:spacing w:val="0"/>
          <w:w w:val="100"/>
          <w:highlight w:val="none"/>
          <w:lang w:val="en-US"/>
        </w:rPr>
        <w:t>燃煤电厂全厂停机。</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spacing w:val="0"/>
          <w:w w:val="100"/>
          <w:highlight w:val="none"/>
          <w:lang w:val="en-US"/>
        </w:rPr>
      </w:pPr>
      <w:r>
        <w:rPr>
          <w:rFonts w:hint="eastAsia"/>
          <w:spacing w:val="0"/>
          <w:w w:val="100"/>
          <w:highlight w:val="none"/>
          <w:lang w:val="en-US" w:eastAsia="zh-CN"/>
        </w:rPr>
        <w:t>5</w:t>
      </w:r>
      <w:r>
        <w:rPr>
          <w:rFonts w:hint="eastAsia"/>
          <w:spacing w:val="0"/>
          <w:w w:val="100"/>
          <w:highlight w:val="none"/>
          <w:lang w:val="en-US"/>
        </w:rPr>
        <w:t>.仍不能满足广西电网调峰需求的，申请南网总调</w:t>
      </w:r>
      <w:r>
        <w:rPr>
          <w:rFonts w:hint="eastAsia"/>
          <w:spacing w:val="0"/>
          <w:w w:val="100"/>
          <w:highlight w:val="none"/>
        </w:rPr>
        <w:t>安排核电机组</w:t>
      </w:r>
      <w:r>
        <w:rPr>
          <w:rFonts w:hint="eastAsia"/>
          <w:spacing w:val="0"/>
          <w:w w:val="100"/>
          <w:highlight w:val="none"/>
          <w:lang w:val="en-US"/>
        </w:rPr>
        <w:t>停机。</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1"/>
        <w:rPr>
          <w:rFonts w:hint="eastAsia" w:ascii="楷体_GB2312" w:hAnsi="楷体_GB2312" w:eastAsia="楷体_GB2312" w:cs="楷体_GB2312"/>
          <w:b w:val="0"/>
          <w:bCs w:val="0"/>
          <w:spacing w:val="0"/>
          <w:w w:val="100"/>
          <w:highlight w:val="none"/>
          <w:lang w:val="en-US" w:eastAsia="zh-CN"/>
        </w:rPr>
      </w:pPr>
      <w:r>
        <w:rPr>
          <w:rFonts w:hint="eastAsia" w:ascii="楷体_GB2312" w:hAnsi="楷体_GB2312" w:eastAsia="楷体_GB2312" w:cs="楷体_GB2312"/>
          <w:b w:val="0"/>
          <w:bCs w:val="0"/>
          <w:spacing w:val="0"/>
          <w:w w:val="100"/>
          <w:highlight w:val="none"/>
          <w:lang w:val="en-US"/>
        </w:rPr>
        <w:t>（四）限制可再生能源发电出力</w:t>
      </w:r>
      <w:r>
        <w:rPr>
          <w:rFonts w:hint="eastAsia" w:ascii="楷体_GB2312" w:hAnsi="楷体_GB2312" w:eastAsia="楷体_GB2312" w:cs="楷体_GB2312"/>
          <w:b w:val="0"/>
          <w:bCs w:val="0"/>
          <w:spacing w:val="0"/>
          <w:w w:val="100"/>
          <w:highlight w:val="none"/>
          <w:lang w:val="en-US" w:eastAsia="zh-CN"/>
        </w:rPr>
        <w:t>手段</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当采取（一）、（二）、（三）手段后仍不能满足广西电网调峰需求的，由广西中调执行可再生能源发电出力限制。</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1.限制在年度市场化交易方案中规定的全电量参与市场化交易的集中式新能源发电出力。</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广西中调根据电网运行情况确定发电出力限制</w:t>
      </w:r>
      <w:r>
        <w:rPr>
          <w:rFonts w:hint="eastAsia"/>
          <w:spacing w:val="0"/>
          <w:w w:val="100"/>
          <w:highlight w:val="none"/>
          <w:lang w:val="en-US" w:eastAsia="zh-CN"/>
        </w:rPr>
        <w:t>规模</w:t>
      </w:r>
      <w:r>
        <w:rPr>
          <w:rFonts w:hint="eastAsia"/>
          <w:spacing w:val="0"/>
          <w:w w:val="100"/>
          <w:highlight w:val="none"/>
          <w:lang w:val="en-US"/>
        </w:rPr>
        <w:t>。非现货环境下，各有关新能源场站根据新能源出力限制指数由高至低次序</w:t>
      </w:r>
      <w:r>
        <w:rPr>
          <w:rFonts w:hint="eastAsia"/>
          <w:spacing w:val="0"/>
          <w:w w:val="100"/>
          <w:highlight w:val="none"/>
          <w:lang w:val="en-US" w:eastAsia="zh-CN"/>
        </w:rPr>
        <w:t>依次</w:t>
      </w:r>
      <w:r>
        <w:rPr>
          <w:rFonts w:hint="eastAsia"/>
          <w:spacing w:val="0"/>
          <w:w w:val="100"/>
          <w:highlight w:val="none"/>
          <w:lang w:val="en-US"/>
        </w:rPr>
        <w:t>按照限制比例执行发电出力限制。现货环境下，所有新能源场站按出力限制指数</w:t>
      </w:r>
      <w:r>
        <w:rPr>
          <w:rFonts w:hint="eastAsia"/>
          <w:spacing w:val="0"/>
          <w:w w:val="100"/>
          <w:highlight w:val="none"/>
          <w:lang w:val="en-US" w:eastAsia="zh-CN"/>
        </w:rPr>
        <w:t>排序依次</w:t>
      </w:r>
      <w:r>
        <w:rPr>
          <w:rFonts w:hint="eastAsia"/>
          <w:spacing w:val="0"/>
          <w:w w:val="100"/>
          <w:highlight w:val="none"/>
          <w:lang w:val="en-US"/>
        </w:rPr>
        <w:t>承担调峰缺口</w:t>
      </w:r>
      <w:r>
        <w:rPr>
          <w:rFonts w:hint="eastAsia"/>
          <w:spacing w:val="0"/>
          <w:w w:val="100"/>
          <w:highlight w:val="none"/>
          <w:lang w:val="en-US" w:eastAsia="zh-CN"/>
        </w:rPr>
        <w:t>后</w:t>
      </w:r>
      <w:r>
        <w:rPr>
          <w:rFonts w:hint="eastAsia"/>
          <w:spacing w:val="0"/>
          <w:w w:val="100"/>
          <w:highlight w:val="none"/>
          <w:lang w:val="en-US"/>
        </w:rPr>
        <w:t>，非“报量报价”新能源</w:t>
      </w:r>
      <w:r>
        <w:rPr>
          <w:rFonts w:hint="eastAsia"/>
          <w:spacing w:val="0"/>
          <w:w w:val="100"/>
          <w:highlight w:val="none"/>
          <w:lang w:val="en-US" w:eastAsia="zh-CN"/>
        </w:rPr>
        <w:t>厂站直接执行压减后的</w:t>
      </w:r>
      <w:r>
        <w:rPr>
          <w:rFonts w:hint="eastAsia"/>
          <w:spacing w:val="0"/>
          <w:w w:val="100"/>
          <w:highlight w:val="none"/>
          <w:lang w:val="en-US"/>
        </w:rPr>
        <w:t>出力</w:t>
      </w:r>
      <w:r>
        <w:rPr>
          <w:rFonts w:hint="eastAsia"/>
          <w:spacing w:val="0"/>
          <w:w w:val="100"/>
          <w:highlight w:val="none"/>
          <w:lang w:val="en-US" w:eastAsia="zh-CN"/>
        </w:rPr>
        <w:t>计划，同时纳入</w:t>
      </w:r>
      <w:r>
        <w:rPr>
          <w:rFonts w:hint="eastAsia"/>
          <w:spacing w:val="0"/>
          <w:w w:val="100"/>
          <w:highlight w:val="none"/>
          <w:lang w:val="en-US"/>
        </w:rPr>
        <w:t>现货出清边界进行出清，“报量报价”新能源</w:t>
      </w:r>
      <w:r>
        <w:rPr>
          <w:rFonts w:hint="eastAsia"/>
          <w:spacing w:val="0"/>
          <w:w w:val="100"/>
          <w:highlight w:val="none"/>
          <w:lang w:val="en-US" w:eastAsia="zh-CN"/>
        </w:rPr>
        <w:t>场站</w:t>
      </w:r>
      <w:r>
        <w:rPr>
          <w:rFonts w:hint="eastAsia"/>
          <w:spacing w:val="0"/>
          <w:w w:val="100"/>
          <w:highlight w:val="none"/>
          <w:lang w:val="en-US"/>
        </w:rPr>
        <w:t>按出清结果执行。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default" w:ascii="仿宋_GB2312" w:hAnsi="仿宋_GB2312" w:eastAsia="仿宋_GB2312" w:cs="仿宋_GB2312"/>
          <w:color w:val="auto"/>
          <w:spacing w:val="0"/>
          <w:w w:val="100"/>
          <w:sz w:val="32"/>
          <w:szCs w:val="32"/>
          <w:highlight w:val="none"/>
          <w:lang w:val="en-US" w:eastAsia="zh-CN" w:bidi="zh-CN"/>
        </w:rPr>
      </w:pPr>
      <w:r>
        <w:rPr>
          <w:rFonts w:hint="eastAsia" w:ascii="仿宋_GB2312" w:hAnsi="仿宋_GB2312" w:eastAsia="仿宋_GB2312" w:cs="仿宋_GB2312"/>
          <w:color w:val="auto"/>
          <w:spacing w:val="0"/>
          <w:w w:val="100"/>
          <w:sz w:val="32"/>
          <w:szCs w:val="32"/>
          <w:highlight w:val="none"/>
          <w:lang w:val="en-US" w:eastAsia="zh-CN" w:bidi="zh-CN"/>
        </w:rPr>
        <w:t>新能源场出力限制指数</w:t>
      </w:r>
      <w:r>
        <w:rPr>
          <w:rFonts w:hint="eastAsia" w:ascii="仿宋_GB2312" w:hAnsi="仿宋_GB2312" w:eastAsia="仿宋_GB2312" w:cs="仿宋_GB2312"/>
          <w:color w:val="auto"/>
          <w:spacing w:val="0"/>
          <w:w w:val="100"/>
          <w:sz w:val="32"/>
          <w:szCs w:val="32"/>
          <w:highlight w:val="none"/>
          <w:lang w:eastAsia="zh-CN" w:bidi="zh-CN"/>
        </w:rPr>
        <w:t>按调度对象计算。某一交易周期内</w:t>
      </w:r>
      <w:r>
        <w:rPr>
          <w:rFonts w:hint="eastAsia" w:ascii="仿宋_GB2312" w:hAnsi="仿宋_GB2312" w:eastAsia="仿宋_GB2312" w:cs="仿宋_GB2312"/>
          <w:color w:val="auto"/>
          <w:spacing w:val="0"/>
          <w:w w:val="100"/>
          <w:sz w:val="32"/>
          <w:szCs w:val="32"/>
          <w:highlight w:val="none"/>
          <w:lang w:val="en-US" w:eastAsia="zh-CN" w:bidi="zh-CN"/>
        </w:rPr>
        <w:t>的</w:t>
      </w:r>
      <w:r>
        <w:rPr>
          <w:rFonts w:hint="eastAsia" w:ascii="仿宋_GB2312" w:hAnsi="仿宋_GB2312" w:eastAsia="仿宋_GB2312" w:cs="仿宋_GB2312"/>
          <w:b w:val="0"/>
          <w:bCs w:val="0"/>
          <w:color w:val="auto"/>
          <w:spacing w:val="0"/>
          <w:w w:val="100"/>
          <w:sz w:val="32"/>
          <w:szCs w:val="32"/>
          <w:highlight w:val="none"/>
          <w:lang w:eastAsia="zh-CN" w:bidi="zh-CN"/>
        </w:rPr>
        <w:t>新能源出力限制指数</w:t>
      </w:r>
      <w:r>
        <w:rPr>
          <w:rFonts w:hint="eastAsia" w:ascii="仿宋_GB2312" w:hAnsi="仿宋_GB2312" w:eastAsia="仿宋_GB2312" w:cs="仿宋_GB2312"/>
          <w:color w:val="auto"/>
          <w:spacing w:val="0"/>
          <w:w w:val="100"/>
          <w:sz w:val="32"/>
          <w:szCs w:val="32"/>
          <w:highlight w:val="none"/>
          <w:lang w:eastAsia="zh-CN" w:bidi="zh-CN"/>
        </w:rPr>
        <w:t>=0.</w:t>
      </w:r>
      <w:r>
        <w:rPr>
          <w:rFonts w:hint="eastAsia" w:ascii="仿宋_GB2312" w:hAnsi="仿宋_GB2312" w:eastAsia="仿宋_GB2312" w:cs="仿宋_GB2312"/>
          <w:color w:val="auto"/>
          <w:spacing w:val="0"/>
          <w:w w:val="100"/>
          <w:sz w:val="32"/>
          <w:szCs w:val="32"/>
          <w:highlight w:val="none"/>
          <w:lang w:val="en-US" w:eastAsia="zh-CN" w:bidi="zh-CN"/>
        </w:rPr>
        <w:t>5</w:t>
      </w:r>
      <w:r>
        <w:rPr>
          <w:rFonts w:hint="eastAsia" w:ascii="仿宋_GB2312" w:hAnsi="仿宋_GB2312" w:eastAsia="仿宋_GB2312" w:cs="仿宋_GB2312"/>
          <w:color w:val="auto"/>
          <w:spacing w:val="0"/>
          <w:w w:val="100"/>
          <w:sz w:val="32"/>
          <w:szCs w:val="32"/>
          <w:highlight w:val="none"/>
          <w:lang w:eastAsia="zh-CN" w:bidi="zh-CN"/>
        </w:rPr>
        <w:t>*</w:t>
      </w:r>
      <w:r>
        <w:rPr>
          <w:rFonts w:hint="eastAsia" w:ascii="仿宋_GB2312" w:hAnsi="仿宋_GB2312" w:eastAsia="仿宋_GB2312" w:cs="仿宋_GB2312"/>
          <w:b w:val="0"/>
          <w:bCs w:val="0"/>
          <w:color w:val="auto"/>
          <w:spacing w:val="0"/>
          <w:w w:val="100"/>
          <w:sz w:val="32"/>
          <w:szCs w:val="32"/>
          <w:highlight w:val="none"/>
          <w:lang w:eastAsia="zh-CN" w:bidi="zh-CN"/>
        </w:rPr>
        <w:t>市场化交易电量完成率</w:t>
      </w:r>
      <w:r>
        <w:rPr>
          <w:rFonts w:hint="eastAsia" w:ascii="仿宋_GB2312" w:hAnsi="仿宋_GB2312" w:eastAsia="仿宋_GB2312" w:cs="仿宋_GB2312"/>
          <w:color w:val="auto"/>
          <w:spacing w:val="0"/>
          <w:w w:val="100"/>
          <w:sz w:val="32"/>
          <w:szCs w:val="32"/>
          <w:highlight w:val="none"/>
          <w:lang w:eastAsia="zh-CN" w:bidi="zh-CN"/>
        </w:rPr>
        <w:t>+0.</w:t>
      </w:r>
      <w:r>
        <w:rPr>
          <w:rFonts w:hint="eastAsia" w:ascii="仿宋_GB2312" w:hAnsi="仿宋_GB2312" w:eastAsia="仿宋_GB2312" w:cs="仿宋_GB2312"/>
          <w:color w:val="auto"/>
          <w:spacing w:val="0"/>
          <w:w w:val="100"/>
          <w:sz w:val="32"/>
          <w:szCs w:val="32"/>
          <w:highlight w:val="none"/>
          <w:lang w:val="en-US" w:eastAsia="zh-CN" w:bidi="zh-CN"/>
        </w:rPr>
        <w:t>2</w:t>
      </w:r>
      <w:r>
        <w:rPr>
          <w:rFonts w:hint="eastAsia" w:ascii="仿宋_GB2312" w:hAnsi="仿宋_GB2312" w:eastAsia="仿宋_GB2312" w:cs="仿宋_GB2312"/>
          <w:color w:val="auto"/>
          <w:spacing w:val="0"/>
          <w:w w:val="100"/>
          <w:sz w:val="32"/>
          <w:szCs w:val="32"/>
          <w:highlight w:val="none"/>
          <w:lang w:eastAsia="zh-CN" w:bidi="zh-CN"/>
        </w:rPr>
        <w:t>*</w:t>
      </w:r>
      <w:r>
        <w:rPr>
          <w:rFonts w:hint="eastAsia" w:ascii="仿宋_GB2312" w:hAnsi="仿宋_GB2312" w:eastAsia="仿宋_GB2312" w:cs="仿宋_GB2312"/>
          <w:b w:val="0"/>
          <w:bCs w:val="0"/>
          <w:color w:val="auto"/>
          <w:spacing w:val="0"/>
          <w:w w:val="100"/>
          <w:sz w:val="32"/>
          <w:szCs w:val="32"/>
          <w:highlight w:val="none"/>
          <w:lang w:eastAsia="zh-CN" w:bidi="zh-CN"/>
        </w:rPr>
        <w:t>AGC应用情况</w:t>
      </w:r>
      <w:r>
        <w:rPr>
          <w:rFonts w:hint="eastAsia" w:ascii="仿宋_GB2312" w:hAnsi="仿宋_GB2312" w:eastAsia="仿宋_GB2312" w:cs="仿宋_GB2312"/>
          <w:color w:val="auto"/>
          <w:spacing w:val="0"/>
          <w:w w:val="100"/>
          <w:sz w:val="32"/>
          <w:szCs w:val="32"/>
          <w:highlight w:val="none"/>
          <w:lang w:eastAsia="zh-CN" w:bidi="zh-CN"/>
        </w:rPr>
        <w:t>+0.</w:t>
      </w:r>
      <w:r>
        <w:rPr>
          <w:rFonts w:hint="eastAsia" w:ascii="仿宋_GB2312" w:hAnsi="仿宋_GB2312" w:eastAsia="仿宋_GB2312" w:cs="仿宋_GB2312"/>
          <w:color w:val="auto"/>
          <w:spacing w:val="0"/>
          <w:w w:val="100"/>
          <w:sz w:val="32"/>
          <w:szCs w:val="32"/>
          <w:highlight w:val="none"/>
          <w:lang w:val="en-US" w:eastAsia="zh-CN" w:bidi="zh-CN"/>
        </w:rPr>
        <w:t>3</w:t>
      </w:r>
      <w:r>
        <w:rPr>
          <w:rFonts w:hint="eastAsia" w:ascii="仿宋_GB2312" w:hAnsi="仿宋_GB2312" w:eastAsia="仿宋_GB2312" w:cs="仿宋_GB2312"/>
          <w:color w:val="auto"/>
          <w:spacing w:val="0"/>
          <w:w w:val="100"/>
          <w:sz w:val="32"/>
          <w:szCs w:val="32"/>
          <w:highlight w:val="none"/>
          <w:lang w:eastAsia="zh-CN" w:bidi="zh-CN"/>
        </w:rPr>
        <w:t>*</w:t>
      </w:r>
      <w:r>
        <w:rPr>
          <w:rFonts w:hint="eastAsia" w:ascii="仿宋_GB2312" w:hAnsi="仿宋_GB2312" w:eastAsia="仿宋_GB2312" w:cs="仿宋_GB2312"/>
          <w:b w:val="0"/>
          <w:bCs w:val="0"/>
          <w:color w:val="auto"/>
          <w:spacing w:val="0"/>
          <w:w w:val="100"/>
          <w:sz w:val="32"/>
          <w:szCs w:val="32"/>
          <w:highlight w:val="none"/>
          <w:lang w:eastAsia="zh-CN" w:bidi="zh-CN"/>
        </w:rPr>
        <w:t>配套储能</w:t>
      </w:r>
      <w:r>
        <w:rPr>
          <w:rFonts w:hint="eastAsia" w:ascii="仿宋_GB2312" w:hAnsi="仿宋_GB2312" w:eastAsia="仿宋_GB2312" w:cs="仿宋_GB2312"/>
          <w:b w:val="0"/>
          <w:bCs w:val="0"/>
          <w:color w:val="auto"/>
          <w:spacing w:val="0"/>
          <w:w w:val="100"/>
          <w:sz w:val="32"/>
          <w:szCs w:val="32"/>
          <w:highlight w:val="none"/>
          <w:lang w:val="en-US" w:eastAsia="zh-CN" w:bidi="zh-CN"/>
        </w:rPr>
        <w:t>综合</w:t>
      </w:r>
      <w:r>
        <w:rPr>
          <w:rFonts w:hint="eastAsia" w:ascii="仿宋_GB2312" w:hAnsi="仿宋_GB2312" w:eastAsia="仿宋_GB2312" w:cs="仿宋_GB2312"/>
          <w:b w:val="0"/>
          <w:bCs w:val="0"/>
          <w:color w:val="auto"/>
          <w:spacing w:val="0"/>
          <w:w w:val="100"/>
          <w:sz w:val="32"/>
          <w:szCs w:val="32"/>
          <w:highlight w:val="none"/>
          <w:lang w:eastAsia="zh-CN" w:bidi="zh-CN"/>
        </w:rPr>
        <w:t>调用情况</w:t>
      </w:r>
      <w:r>
        <w:rPr>
          <w:rFonts w:hint="eastAsia" w:ascii="仿宋_GB2312" w:hAnsi="仿宋_GB2312" w:eastAsia="仿宋_GB2312" w:cs="仿宋_GB2312"/>
          <w:color w:val="auto"/>
          <w:spacing w:val="0"/>
          <w:w w:val="100"/>
          <w:sz w:val="32"/>
          <w:szCs w:val="32"/>
          <w:highlight w:val="none"/>
          <w:lang w:eastAsia="zh-CN" w:bidi="zh-CN"/>
        </w:rPr>
        <w:t>。</w:t>
      </w:r>
      <w:r>
        <w:rPr>
          <w:rFonts w:hint="eastAsia" w:ascii="仿宋_GB2312" w:hAnsi="仿宋_GB2312" w:eastAsia="仿宋_GB2312" w:cs="仿宋_GB2312"/>
          <w:color w:val="auto"/>
          <w:spacing w:val="0"/>
          <w:w w:val="100"/>
          <w:sz w:val="32"/>
          <w:szCs w:val="32"/>
          <w:highlight w:val="none"/>
          <w:lang w:val="en-US" w:eastAsia="zh-CN" w:bidi="zh-CN"/>
        </w:rPr>
        <w:t>计算公式和</w:t>
      </w:r>
      <w:r>
        <w:rPr>
          <w:rFonts w:hint="eastAsia" w:ascii="仿宋_GB2312" w:hAnsi="仿宋_GB2312" w:eastAsia="仿宋_GB2312" w:cs="仿宋_GB2312"/>
          <w:color w:val="auto"/>
          <w:spacing w:val="0"/>
          <w:w w:val="100"/>
          <w:sz w:val="32"/>
          <w:szCs w:val="32"/>
          <w:highlight w:val="none"/>
          <w:lang w:eastAsia="zh-CN" w:bidi="zh-CN"/>
        </w:rPr>
        <w:t>系数根据后续实际运行情况适时调整。</w:t>
      </w:r>
      <w:r>
        <w:rPr>
          <w:rFonts w:hint="eastAsia" w:ascii="仿宋_GB2312" w:hAnsi="仿宋_GB2312" w:eastAsia="仿宋_GB2312" w:cs="仿宋_GB2312"/>
          <w:color w:val="auto"/>
          <w:spacing w:val="0"/>
          <w:w w:val="100"/>
          <w:sz w:val="32"/>
          <w:szCs w:val="32"/>
          <w:highlight w:val="none"/>
          <w:lang w:val="en-US" w:eastAsia="zh-CN" w:bidi="zh-CN"/>
        </w:rPr>
        <w:t>出力限制指数每日上午10:00更新，若正处于限制出力状态，则推迟至该次限出力过程结束后、下次限出力过程开始前更新。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pacing w:val="0"/>
          <w:w w:val="100"/>
          <w:sz w:val="32"/>
          <w:szCs w:val="32"/>
          <w:highlight w:val="none"/>
          <w:lang w:eastAsia="zh-CN" w:bidi="zh-CN"/>
        </w:rPr>
      </w:pPr>
      <w:r>
        <w:rPr>
          <w:rFonts w:hint="eastAsia" w:ascii="仿宋_GB2312" w:hAnsi="仿宋_GB2312" w:eastAsia="仿宋_GB2312" w:cs="仿宋_GB2312"/>
          <w:color w:val="auto"/>
          <w:spacing w:val="0"/>
          <w:w w:val="100"/>
          <w:sz w:val="32"/>
          <w:szCs w:val="32"/>
          <w:highlight w:val="none"/>
          <w:lang w:eastAsia="zh-CN" w:bidi="zh-CN"/>
        </w:rPr>
        <w:t>市场化交易电量完成率</w:t>
      </w:r>
      <w:r>
        <w:rPr>
          <w:rFonts w:hint="eastAsia" w:ascii="仿宋_GB2312" w:hAnsi="仿宋_GB2312" w:eastAsia="仿宋_GB2312" w:cs="仿宋_GB2312"/>
          <w:color w:val="auto"/>
          <w:spacing w:val="0"/>
          <w:w w:val="100"/>
          <w:sz w:val="32"/>
          <w:szCs w:val="32"/>
          <w:highlight w:val="none"/>
          <w:lang w:val="en-US" w:eastAsia="zh-CN" w:bidi="zh-CN"/>
        </w:rPr>
        <w:t>=</w:t>
      </w:r>
      <w:r>
        <w:rPr>
          <w:rFonts w:hint="eastAsia" w:ascii="仿宋_GB2312" w:hAnsi="仿宋_GB2312" w:eastAsia="仿宋_GB2312" w:cs="仿宋_GB2312"/>
          <w:color w:val="auto"/>
          <w:spacing w:val="0"/>
          <w:w w:val="100"/>
          <w:sz w:val="32"/>
          <w:szCs w:val="32"/>
          <w:highlight w:val="none"/>
          <w:lang w:eastAsia="zh-CN" w:bidi="zh-CN"/>
        </w:rPr>
        <w:t>所在交易周期（</w:t>
      </w:r>
      <w:r>
        <w:rPr>
          <w:rFonts w:hint="eastAsia" w:ascii="仿宋_GB2312" w:hAnsi="仿宋_GB2312" w:eastAsia="仿宋_GB2312" w:cs="仿宋_GB2312"/>
          <w:color w:val="auto"/>
          <w:spacing w:val="0"/>
          <w:w w:val="100"/>
          <w:sz w:val="32"/>
          <w:szCs w:val="32"/>
          <w:highlight w:val="none"/>
          <w:lang w:val="en-US" w:eastAsia="zh-CN" w:bidi="zh-CN"/>
        </w:rPr>
        <w:t>暂定为周）</w:t>
      </w:r>
      <w:r>
        <w:rPr>
          <w:rFonts w:hint="eastAsia" w:ascii="仿宋_GB2312" w:hAnsi="仿宋_GB2312" w:eastAsia="仿宋_GB2312" w:cs="仿宋_GB2312"/>
          <w:color w:val="auto"/>
          <w:spacing w:val="0"/>
          <w:w w:val="100"/>
          <w:sz w:val="32"/>
          <w:szCs w:val="32"/>
          <w:highlight w:val="none"/>
          <w:lang w:eastAsia="zh-CN" w:bidi="zh-CN"/>
        </w:rPr>
        <w:t>该场站截至D-1日（D为弃电日，下同）的累计上网电量/该交易周期所持净合同电量，</w:t>
      </w:r>
      <w:r>
        <w:rPr>
          <w:rFonts w:hint="eastAsia" w:ascii="仿宋_GB2312" w:hAnsi="仿宋_GB2312" w:eastAsia="仿宋_GB2312" w:cs="仿宋_GB2312"/>
          <w:b w:val="0"/>
          <w:bCs w:val="0"/>
          <w:color w:val="auto"/>
          <w:spacing w:val="0"/>
          <w:w w:val="100"/>
          <w:sz w:val="32"/>
          <w:szCs w:val="32"/>
          <w:highlight w:val="none"/>
          <w:lang w:val="en-US" w:eastAsia="zh-CN" w:bidi="zh-CN"/>
        </w:rPr>
        <w:t>其中累计上网电量采用调度OCS系统新能源场站上网功率积分电量结果</w:t>
      </w:r>
      <w:r>
        <w:rPr>
          <w:rFonts w:hint="eastAsia" w:ascii="仿宋_GB2312" w:hAnsi="仿宋_GB2312" w:eastAsia="仿宋_GB2312" w:cs="仿宋_GB2312"/>
          <w:color w:val="auto"/>
          <w:spacing w:val="0"/>
          <w:w w:val="100"/>
          <w:sz w:val="32"/>
          <w:szCs w:val="32"/>
          <w:highlight w:val="none"/>
          <w:lang w:eastAsia="zh-CN" w:bidi="zh-CN"/>
        </w:rPr>
        <w:t>。</w:t>
      </w:r>
      <w:r>
        <w:rPr>
          <w:rFonts w:hint="eastAsia" w:ascii="仿宋_GB2312" w:hAnsi="仿宋_GB2312" w:eastAsia="仿宋_GB2312" w:cs="仿宋_GB2312"/>
          <w:color w:val="auto"/>
          <w:spacing w:val="0"/>
          <w:w w:val="100"/>
          <w:sz w:val="32"/>
          <w:szCs w:val="32"/>
          <w:highlight w:val="none"/>
          <w:lang w:val="en-US" w:eastAsia="zh-CN" w:bidi="zh-CN"/>
        </w:rPr>
        <w:t>参与交易场站的</w:t>
      </w:r>
      <w:r>
        <w:rPr>
          <w:rFonts w:hint="eastAsia" w:ascii="仿宋_GB2312" w:hAnsi="仿宋_GB2312" w:eastAsia="仿宋_GB2312" w:cs="仿宋_GB2312"/>
          <w:color w:val="auto"/>
          <w:spacing w:val="0"/>
          <w:w w:val="100"/>
          <w:sz w:val="32"/>
          <w:szCs w:val="32"/>
          <w:highlight w:val="none"/>
          <w:lang w:eastAsia="zh-CN" w:bidi="zh-CN"/>
        </w:rPr>
        <w:t>市场化交易电量完成率上限暂定为500%，对于净合同电量为0的新能源场站，完成率取同期参与交易场站完成率最大值的</w:t>
      </w:r>
      <w:r>
        <w:rPr>
          <w:rFonts w:hint="eastAsia" w:ascii="仿宋_GB2312" w:hAnsi="仿宋_GB2312" w:eastAsia="仿宋_GB2312" w:cs="仿宋_GB2312"/>
          <w:color w:val="auto"/>
          <w:spacing w:val="0"/>
          <w:w w:val="100"/>
          <w:sz w:val="32"/>
          <w:szCs w:val="32"/>
          <w:highlight w:val="none"/>
          <w:lang w:val="en-US" w:eastAsia="zh-CN" w:bidi="zh-CN"/>
        </w:rPr>
        <w:t>1.1倍，上限为550%</w:t>
      </w:r>
      <w:r>
        <w:rPr>
          <w:rFonts w:hint="eastAsia" w:ascii="仿宋_GB2312" w:hAnsi="仿宋_GB2312" w:eastAsia="仿宋_GB2312" w:cs="仿宋_GB2312"/>
          <w:color w:val="auto"/>
          <w:spacing w:val="0"/>
          <w:w w:val="100"/>
          <w:sz w:val="32"/>
          <w:szCs w:val="32"/>
          <w:highlight w:val="none"/>
          <w:lang w:eastAsia="zh-CN" w:bidi="zh-CN"/>
        </w:rPr>
        <w:t>。新交易周期首日的完成率参照上一</w:t>
      </w:r>
      <w:r>
        <w:rPr>
          <w:rFonts w:hint="eastAsia" w:ascii="仿宋_GB2312" w:hAnsi="仿宋_GB2312" w:eastAsia="仿宋_GB2312" w:cs="仿宋_GB2312"/>
          <w:color w:val="auto"/>
          <w:spacing w:val="0"/>
          <w:w w:val="100"/>
          <w:sz w:val="32"/>
          <w:szCs w:val="32"/>
          <w:highlight w:val="none"/>
          <w:lang w:val="en-US" w:eastAsia="zh-CN" w:bidi="zh-CN"/>
        </w:rPr>
        <w:t>完整</w:t>
      </w:r>
      <w:r>
        <w:rPr>
          <w:rFonts w:hint="eastAsia" w:ascii="仿宋_GB2312" w:hAnsi="仿宋_GB2312" w:eastAsia="仿宋_GB2312" w:cs="仿宋_GB2312"/>
          <w:color w:val="auto"/>
          <w:spacing w:val="0"/>
          <w:w w:val="100"/>
          <w:sz w:val="32"/>
          <w:szCs w:val="32"/>
          <w:highlight w:val="none"/>
          <w:lang w:eastAsia="zh-CN" w:bidi="zh-CN"/>
        </w:rPr>
        <w:t>交易周期的完成率。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color w:val="auto"/>
          <w:spacing w:val="0"/>
          <w:w w:val="100"/>
          <w:sz w:val="32"/>
          <w:szCs w:val="32"/>
          <w:highlight w:val="none"/>
          <w:lang w:val="en-US" w:eastAsia="zh-CN" w:bidi="zh-CN"/>
        </w:rPr>
      </w:pPr>
      <w:r>
        <w:rPr>
          <w:rFonts w:hint="eastAsia" w:ascii="仿宋_GB2312" w:hAnsi="仿宋_GB2312" w:eastAsia="仿宋_GB2312" w:cs="仿宋_GB2312"/>
          <w:color w:val="auto"/>
          <w:spacing w:val="0"/>
          <w:w w:val="100"/>
          <w:sz w:val="32"/>
          <w:szCs w:val="32"/>
          <w:highlight w:val="none"/>
          <w:lang w:eastAsia="zh-CN" w:bidi="zh-CN"/>
        </w:rPr>
        <w:t>AGC应用情况取值为</w:t>
      </w:r>
      <w:r>
        <w:rPr>
          <w:rFonts w:hint="eastAsia" w:ascii="仿宋_GB2312" w:hAnsi="仿宋_GB2312" w:eastAsia="仿宋_GB2312" w:cs="仿宋_GB2312"/>
          <w:color w:val="auto"/>
          <w:spacing w:val="0"/>
          <w:w w:val="100"/>
          <w:sz w:val="32"/>
          <w:szCs w:val="32"/>
          <w:highlight w:val="none"/>
          <w:lang w:val="en-US" w:eastAsia="zh-CN" w:bidi="zh-CN"/>
        </w:rPr>
        <w:t>0或1，</w:t>
      </w:r>
      <w:r>
        <w:rPr>
          <w:rFonts w:hint="eastAsia" w:ascii="仿宋_GB2312" w:hAnsi="仿宋_GB2312" w:eastAsia="仿宋_GB2312" w:cs="仿宋_GB2312"/>
          <w:color w:val="auto"/>
          <w:spacing w:val="0"/>
          <w:w w:val="100"/>
          <w:sz w:val="32"/>
          <w:szCs w:val="32"/>
          <w:highlight w:val="none"/>
          <w:lang w:eastAsia="zh-CN" w:bidi="zh-CN"/>
        </w:rPr>
        <w:t>场站AGC联调和AGC</w:t>
      </w:r>
      <w:r>
        <w:rPr>
          <w:rFonts w:hint="eastAsia" w:ascii="仿宋_GB2312" w:hAnsi="仿宋_GB2312" w:eastAsia="仿宋_GB2312" w:cs="仿宋_GB2312"/>
          <w:color w:val="auto"/>
          <w:spacing w:val="0"/>
          <w:w w:val="100"/>
          <w:sz w:val="32"/>
          <w:szCs w:val="32"/>
          <w:highlight w:val="none"/>
          <w:lang w:val="en-US" w:eastAsia="zh-CN" w:bidi="zh-CN"/>
        </w:rPr>
        <w:t>闭环控制</w:t>
      </w:r>
      <w:r>
        <w:rPr>
          <w:rFonts w:hint="eastAsia" w:ascii="仿宋_GB2312" w:hAnsi="仿宋_GB2312" w:eastAsia="仿宋_GB2312" w:cs="仿宋_GB2312"/>
          <w:color w:val="auto"/>
          <w:spacing w:val="0"/>
          <w:w w:val="100"/>
          <w:sz w:val="32"/>
          <w:szCs w:val="32"/>
          <w:highlight w:val="none"/>
          <w:lang w:eastAsia="zh-CN" w:bidi="zh-CN"/>
        </w:rPr>
        <w:t>全部已完成则取0，未全部完成取1。新投产新能源场站</w:t>
      </w:r>
      <w:r>
        <w:rPr>
          <w:rFonts w:hint="eastAsia" w:ascii="仿宋_GB2312" w:hAnsi="仿宋_GB2312" w:eastAsia="仿宋_GB2312" w:cs="仿宋_GB2312"/>
          <w:color w:val="auto"/>
          <w:spacing w:val="0"/>
          <w:w w:val="100"/>
          <w:sz w:val="32"/>
          <w:szCs w:val="32"/>
          <w:highlight w:val="none"/>
          <w:lang w:val="en-US" w:eastAsia="zh-CN" w:bidi="zh-CN"/>
        </w:rPr>
        <w:t>第1个月默认取0。</w:t>
      </w:r>
    </w:p>
    <w:p>
      <w:pPr>
        <w:pStyle w:val="3"/>
        <w:keepNext w:val="0"/>
        <w:keepLines w:val="0"/>
        <w:pageBreakBefore w:val="0"/>
        <w:widowControl w:val="0"/>
        <w:kinsoku/>
        <w:wordWrap/>
        <w:overflowPunct/>
        <w:topLinePunct w:val="0"/>
        <w:autoSpaceDE/>
        <w:autoSpaceDN/>
        <w:bidi w:val="0"/>
        <w:adjustRightInd/>
        <w:snapToGrid/>
        <w:spacing w:line="580" w:lineRule="exact"/>
        <w:ind w:firstLine="608"/>
        <w:textAlignment w:val="auto"/>
        <w:rPr>
          <w:rFonts w:hint="eastAsia" w:ascii="仿宋_GB2312" w:hAnsi="仿宋_GB2312" w:eastAsia="仿宋_GB2312" w:cs="仿宋_GB2312"/>
          <w:spacing w:val="0"/>
          <w:w w:val="100"/>
          <w:sz w:val="32"/>
          <w:szCs w:val="32"/>
          <w:highlight w:val="none"/>
        </w:rPr>
      </w:pPr>
      <w:r>
        <w:rPr>
          <w:rFonts w:hint="eastAsia" w:ascii="仿宋_GB2312" w:hAnsi="仿宋_GB2312" w:eastAsia="仿宋_GB2312" w:cs="仿宋_GB2312"/>
          <w:color w:val="auto"/>
          <w:spacing w:val="0"/>
          <w:w w:val="100"/>
          <w:sz w:val="32"/>
          <w:szCs w:val="32"/>
          <w:highlight w:val="none"/>
          <w:lang w:eastAsia="zh-CN" w:bidi="zh-CN"/>
        </w:rPr>
        <w:t>配套储能</w:t>
      </w:r>
      <w:r>
        <w:rPr>
          <w:rFonts w:hint="eastAsia" w:cs="仿宋_GB2312"/>
          <w:color w:val="auto"/>
          <w:spacing w:val="0"/>
          <w:w w:val="100"/>
          <w:sz w:val="32"/>
          <w:szCs w:val="32"/>
          <w:highlight w:val="none"/>
          <w:lang w:val="en-US" w:eastAsia="zh-CN" w:bidi="zh-CN"/>
        </w:rPr>
        <w:t>综合</w:t>
      </w:r>
      <w:r>
        <w:rPr>
          <w:rFonts w:hint="eastAsia" w:ascii="仿宋_GB2312" w:hAnsi="仿宋_GB2312" w:eastAsia="仿宋_GB2312" w:cs="仿宋_GB2312"/>
          <w:color w:val="auto"/>
          <w:spacing w:val="0"/>
          <w:w w:val="100"/>
          <w:sz w:val="32"/>
          <w:szCs w:val="32"/>
          <w:highlight w:val="none"/>
          <w:lang w:eastAsia="zh-CN" w:bidi="zh-CN"/>
        </w:rPr>
        <w:t>调用情况=</w:t>
      </w:r>
      <w:r>
        <w:rPr>
          <w:rFonts w:hint="eastAsia" w:ascii="仿宋_GB2312" w:hAnsi="仿宋_GB2312" w:eastAsia="仿宋_GB2312" w:cs="仿宋_GB2312"/>
          <w:color w:val="auto"/>
          <w:spacing w:val="0"/>
          <w:w w:val="100"/>
          <w:sz w:val="32"/>
          <w:szCs w:val="32"/>
          <w:highlight w:val="none"/>
          <w:lang w:val="en-US" w:eastAsia="zh-CN" w:bidi="zh-CN"/>
        </w:rPr>
        <w:t>1-</w:t>
      </w:r>
      <w:r>
        <w:rPr>
          <w:rFonts w:hint="eastAsia" w:ascii="仿宋_GB2312" w:hAnsi="仿宋_GB2312" w:eastAsia="仿宋_GB2312" w:cs="仿宋_GB2312"/>
          <w:color w:val="auto"/>
          <w:spacing w:val="0"/>
          <w:w w:val="100"/>
          <w:sz w:val="32"/>
          <w:szCs w:val="32"/>
          <w:highlight w:val="none"/>
          <w:lang w:eastAsia="zh-CN" w:bidi="zh-CN"/>
        </w:rPr>
        <w:t>∑市场化项目储能调用情况*市场化项目容量</w:t>
      </w:r>
      <w:r>
        <w:rPr>
          <w:rFonts w:hint="eastAsia" w:ascii="仿宋_GB2312" w:hAnsi="仿宋_GB2312" w:eastAsia="仿宋_GB2312" w:cs="仿宋_GB2312"/>
          <w:color w:val="auto"/>
          <w:spacing w:val="0"/>
          <w:w w:val="100"/>
          <w:sz w:val="32"/>
          <w:szCs w:val="32"/>
          <w:highlight w:val="none"/>
          <w:lang w:val="en-US" w:eastAsia="zh-CN" w:bidi="zh-CN"/>
        </w:rPr>
        <w:t>/</w:t>
      </w:r>
      <w:r>
        <w:rPr>
          <w:rFonts w:hint="eastAsia" w:ascii="仿宋_GB2312" w:hAnsi="仿宋_GB2312" w:eastAsia="仿宋_GB2312" w:cs="仿宋_GB2312"/>
          <w:color w:val="auto"/>
          <w:spacing w:val="0"/>
          <w:w w:val="100"/>
          <w:sz w:val="32"/>
          <w:szCs w:val="32"/>
          <w:highlight w:val="none"/>
          <w:lang w:eastAsia="zh-CN" w:bidi="zh-CN"/>
        </w:rPr>
        <w:t>新能源场站投产容量</w:t>
      </w:r>
      <w:r>
        <w:rPr>
          <w:rFonts w:hint="eastAsia" w:cs="仿宋_GB2312"/>
          <w:color w:val="auto"/>
          <w:spacing w:val="0"/>
          <w:w w:val="100"/>
          <w:sz w:val="32"/>
          <w:szCs w:val="32"/>
          <w:highlight w:val="none"/>
          <w:lang w:val="en-US" w:eastAsia="zh-CN" w:bidi="zh-CN"/>
        </w:rPr>
        <w:t>-</w:t>
      </w:r>
      <w:r>
        <w:rPr>
          <w:rFonts w:hint="eastAsia" w:ascii="仿宋_GB2312" w:hAnsi="仿宋_GB2312" w:eastAsia="仿宋_GB2312" w:cs="仿宋_GB2312"/>
          <w:color w:val="auto"/>
          <w:spacing w:val="0"/>
          <w:w w:val="100"/>
          <w:sz w:val="32"/>
          <w:szCs w:val="32"/>
          <w:highlight w:val="none"/>
          <w:lang w:eastAsia="zh-CN" w:bidi="zh-CN"/>
        </w:rPr>
        <w:t>∑保障性项目容量</w:t>
      </w:r>
      <w:r>
        <w:rPr>
          <w:rFonts w:hint="eastAsia" w:cs="仿宋_GB2312"/>
          <w:color w:val="auto"/>
          <w:spacing w:val="0"/>
          <w:w w:val="100"/>
          <w:sz w:val="32"/>
          <w:szCs w:val="32"/>
          <w:highlight w:val="none"/>
          <w:lang w:val="en-US" w:eastAsia="zh-CN" w:bidi="zh-CN"/>
        </w:rPr>
        <w:t>/</w:t>
      </w:r>
      <w:r>
        <w:rPr>
          <w:rFonts w:hint="eastAsia" w:ascii="仿宋_GB2312" w:hAnsi="仿宋_GB2312" w:eastAsia="仿宋_GB2312" w:cs="仿宋_GB2312"/>
          <w:color w:val="auto"/>
          <w:spacing w:val="0"/>
          <w:w w:val="100"/>
          <w:sz w:val="32"/>
          <w:szCs w:val="32"/>
          <w:highlight w:val="none"/>
          <w:lang w:eastAsia="zh-CN" w:bidi="zh-CN"/>
        </w:rPr>
        <w:t>新能源场站投产容量。储能调用情况</w:t>
      </w:r>
      <w:r>
        <w:rPr>
          <w:rFonts w:hint="eastAsia" w:cs="仿宋_GB2312"/>
          <w:color w:val="auto"/>
          <w:spacing w:val="0"/>
          <w:w w:val="100"/>
          <w:sz w:val="32"/>
          <w:szCs w:val="32"/>
          <w:highlight w:val="none"/>
          <w:lang w:val="en-US" w:eastAsia="zh-CN" w:bidi="zh-CN"/>
        </w:rPr>
        <w:t>根据</w:t>
      </w:r>
      <w:r>
        <w:rPr>
          <w:rFonts w:hint="eastAsia" w:ascii="仿宋_GB2312" w:hAnsi="仿宋_GB2312" w:eastAsia="仿宋_GB2312" w:cs="仿宋_GB2312"/>
          <w:color w:val="auto"/>
          <w:spacing w:val="0"/>
          <w:w w:val="100"/>
          <w:sz w:val="32"/>
          <w:szCs w:val="32"/>
          <w:highlight w:val="none"/>
          <w:lang w:eastAsia="zh-CN" w:bidi="zh-CN"/>
        </w:rPr>
        <w:t>过去一周</w:t>
      </w:r>
      <w:r>
        <w:rPr>
          <w:rFonts w:hint="eastAsia" w:cs="仿宋_GB2312"/>
          <w:color w:val="auto"/>
          <w:spacing w:val="0"/>
          <w:w w:val="100"/>
          <w:sz w:val="32"/>
          <w:szCs w:val="32"/>
          <w:highlight w:val="none"/>
          <w:lang w:val="en-US" w:eastAsia="zh-CN" w:bidi="zh-CN"/>
        </w:rPr>
        <w:t>储能设施实际充电电量进行计算，</w:t>
      </w:r>
      <w:r>
        <w:rPr>
          <w:rFonts w:hint="eastAsia" w:ascii="仿宋_GB2312" w:hAnsi="仿宋_GB2312" w:eastAsia="仿宋_GB2312" w:cs="仿宋_GB2312"/>
          <w:color w:val="auto"/>
          <w:spacing w:val="0"/>
          <w:w w:val="100"/>
          <w:sz w:val="32"/>
          <w:szCs w:val="32"/>
          <w:highlight w:val="none"/>
          <w:lang w:eastAsia="zh-CN" w:bidi="zh-CN"/>
        </w:rPr>
        <w:t>市场化项目储能调用情况=市场化项目储能占该储能</w:t>
      </w:r>
      <w:r>
        <w:rPr>
          <w:rFonts w:hint="eastAsia" w:cs="仿宋_GB2312"/>
          <w:color w:val="auto"/>
          <w:spacing w:val="0"/>
          <w:w w:val="100"/>
          <w:sz w:val="32"/>
          <w:szCs w:val="32"/>
          <w:highlight w:val="none"/>
          <w:lang w:val="en-US" w:eastAsia="zh-CN" w:bidi="zh-CN"/>
        </w:rPr>
        <w:t>设施</w:t>
      </w:r>
      <w:r>
        <w:rPr>
          <w:rFonts w:hint="eastAsia" w:ascii="仿宋_GB2312" w:hAnsi="仿宋_GB2312" w:eastAsia="仿宋_GB2312" w:cs="仿宋_GB2312"/>
          <w:color w:val="auto"/>
          <w:spacing w:val="0"/>
          <w:w w:val="100"/>
          <w:sz w:val="32"/>
          <w:szCs w:val="32"/>
          <w:highlight w:val="none"/>
          <w:lang w:eastAsia="zh-CN" w:bidi="zh-CN"/>
        </w:rPr>
        <w:t>并网容量比例*过去一周</w:t>
      </w:r>
      <w:r>
        <w:rPr>
          <w:rFonts w:hint="eastAsia" w:cs="仿宋_GB2312"/>
          <w:color w:val="auto"/>
          <w:spacing w:val="0"/>
          <w:w w:val="100"/>
          <w:sz w:val="32"/>
          <w:szCs w:val="32"/>
          <w:highlight w:val="none"/>
          <w:lang w:val="en-US" w:eastAsia="zh-CN" w:bidi="zh-CN"/>
        </w:rPr>
        <w:t>该</w:t>
      </w:r>
      <w:r>
        <w:rPr>
          <w:rFonts w:hint="eastAsia" w:ascii="仿宋_GB2312" w:hAnsi="仿宋_GB2312" w:eastAsia="仿宋_GB2312" w:cs="仿宋_GB2312"/>
          <w:color w:val="auto"/>
          <w:spacing w:val="0"/>
          <w:w w:val="100"/>
          <w:sz w:val="32"/>
          <w:szCs w:val="32"/>
          <w:highlight w:val="none"/>
          <w:lang w:eastAsia="zh-CN" w:bidi="zh-CN"/>
        </w:rPr>
        <w:t>储能设施</w:t>
      </w:r>
      <w:r>
        <w:rPr>
          <w:rFonts w:hint="eastAsia" w:cs="仿宋_GB2312"/>
          <w:color w:val="auto"/>
          <w:spacing w:val="0"/>
          <w:w w:val="100"/>
          <w:sz w:val="32"/>
          <w:szCs w:val="32"/>
          <w:highlight w:val="none"/>
          <w:lang w:val="en-US" w:eastAsia="zh-CN" w:bidi="zh-CN"/>
        </w:rPr>
        <w:t>充电电量/（该储能设施可调容量*2h*7天）</w:t>
      </w:r>
      <w:r>
        <w:rPr>
          <w:rFonts w:hint="eastAsia" w:ascii="仿宋_GB2312" w:hAnsi="仿宋_GB2312" w:eastAsia="仿宋_GB2312" w:cs="仿宋_GB2312"/>
          <w:color w:val="auto"/>
          <w:spacing w:val="0"/>
          <w:w w:val="100"/>
          <w:sz w:val="32"/>
          <w:szCs w:val="32"/>
          <w:highlight w:val="none"/>
          <w:lang w:eastAsia="zh-CN" w:bidi="zh-CN"/>
        </w:rPr>
        <w:t>。使用煤电机组灵活性改造新增调节容量代替配储的情况参照常规储能电站计算。</w:t>
      </w:r>
      <w:r>
        <w:rPr>
          <w:rFonts w:hint="eastAsia" w:cs="仿宋_GB2312"/>
          <w:color w:val="auto"/>
          <w:spacing w:val="0"/>
          <w:w w:val="100"/>
          <w:sz w:val="32"/>
          <w:szCs w:val="32"/>
          <w:highlight w:val="none"/>
          <w:lang w:val="en-US" w:eastAsia="zh-CN" w:bidi="zh-CN"/>
        </w:rPr>
        <w:t>所含项目全部为保障性项目的新能源场站，配套储能综合调用情况计算结果应为0。</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集中式新能源场站限制出力下限为：风电场</w:t>
      </w:r>
      <w:r>
        <w:rPr>
          <w:rFonts w:hint="eastAsia"/>
          <w:spacing w:val="0"/>
          <w:w w:val="100"/>
          <w:highlight w:val="none"/>
        </w:rPr>
        <w:t>仅保留</w:t>
      </w:r>
      <w:r>
        <w:rPr>
          <w:rFonts w:hint="eastAsia"/>
          <w:spacing w:val="0"/>
          <w:w w:val="100"/>
          <w:highlight w:val="none"/>
          <w:lang w:val="en-US"/>
        </w:rPr>
        <w:t>一台已在调度备案、场站内容量最小的机组满足厂用电；光伏电站按满足站用电且不向主网送电。</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spacing w:val="0"/>
          <w:w w:val="100"/>
          <w:highlight w:val="none"/>
          <w:lang w:val="en-US"/>
        </w:rPr>
      </w:pPr>
      <w:r>
        <w:rPr>
          <w:rFonts w:hint="eastAsia"/>
          <w:spacing w:val="0"/>
          <w:w w:val="100"/>
          <w:highlight w:val="none"/>
          <w:lang w:val="en-US"/>
        </w:rPr>
        <w:t>2.限制水电发电出力。集中式新能源最大降至厂用电功率后仍有调峰缺口的，在保障备用、调频、调压等电网运行基本需求和防汛、生态、航运等社会需求的前提下，安排水电按可发能力等比例进行发电出力限制。</w:t>
      </w:r>
    </w:p>
    <w:p>
      <w:pPr>
        <w:pStyle w:val="4"/>
        <w:keepNext w:val="0"/>
        <w:keepLines w:val="0"/>
        <w:pageBreakBefore w:val="0"/>
        <w:widowControl w:val="0"/>
        <w:kinsoku/>
        <w:wordWrap/>
        <w:overflowPunct/>
        <w:topLinePunct w:val="0"/>
        <w:autoSpaceDE/>
        <w:autoSpaceDN/>
        <w:bidi w:val="0"/>
        <w:adjustRightInd/>
        <w:snapToGrid/>
        <w:spacing w:before="0" w:after="0" w:line="580" w:lineRule="exact"/>
        <w:ind w:firstLine="640" w:firstLineChars="200"/>
        <w:jc w:val="both"/>
        <w:textAlignment w:val="auto"/>
        <w:outlineLvl w:val="9"/>
        <w:rPr>
          <w:rFonts w:ascii="仿宋_GB2312" w:hAnsi="仿宋_GB2312" w:eastAsia="仿宋_GB2312" w:cs="仿宋_GB2312"/>
          <w:b w:val="0"/>
          <w:bCs w:val="0"/>
          <w:spacing w:val="0"/>
          <w:w w:val="100"/>
          <w:highlight w:val="none"/>
          <w:lang w:bidi="zh-CN"/>
        </w:rPr>
      </w:pPr>
      <w:r>
        <w:rPr>
          <w:rFonts w:hint="eastAsia" w:ascii="仿宋_GB2312" w:hAnsi="仿宋_GB2312" w:eastAsia="仿宋_GB2312" w:cs="仿宋_GB2312"/>
          <w:b w:val="0"/>
          <w:bCs w:val="0"/>
          <w:spacing w:val="0"/>
          <w:w w:val="100"/>
          <w:highlight w:val="none"/>
          <w:lang w:bidi="zh-CN"/>
        </w:rPr>
        <w:t>3.限制分布式新能源发电出力。限制集中式新能源出力和水电出力</w:t>
      </w:r>
      <w:r>
        <w:rPr>
          <w:rFonts w:hint="eastAsia" w:ascii="仿宋_GB2312" w:hAnsi="仿宋_GB2312" w:eastAsia="仿宋_GB2312" w:cs="仿宋_GB2312"/>
          <w:b w:val="0"/>
          <w:bCs w:val="0"/>
          <w:spacing w:val="0"/>
          <w:w w:val="100"/>
          <w:highlight w:val="none"/>
        </w:rPr>
        <w:t>后仍有调峰缺口的，限制</w:t>
      </w:r>
      <w:r>
        <w:rPr>
          <w:rFonts w:hint="eastAsia" w:ascii="仿宋_GB2312" w:hAnsi="仿宋_GB2312" w:eastAsia="仿宋_GB2312" w:cs="仿宋_GB2312"/>
          <w:b w:val="0"/>
          <w:bCs w:val="0"/>
          <w:spacing w:val="0"/>
          <w:w w:val="100"/>
          <w:highlight w:val="none"/>
          <w:lang w:bidi="zh-CN"/>
        </w:rPr>
        <w:t>分布式新能源发电出力。</w:t>
      </w:r>
    </w:p>
    <w:p>
      <w:pPr>
        <w:pStyle w:val="3"/>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outlineLvl w:val="0"/>
        <w:rPr>
          <w:rFonts w:ascii="黑体" w:eastAsia="黑体"/>
          <w:spacing w:val="0"/>
          <w:w w:val="100"/>
          <w:highlight w:val="none"/>
          <w:lang w:val="en-US"/>
        </w:rPr>
      </w:pPr>
      <w:r>
        <w:rPr>
          <w:rFonts w:hint="eastAsia" w:ascii="黑体" w:eastAsia="黑体"/>
          <w:spacing w:val="0"/>
          <w:w w:val="100"/>
          <w:highlight w:val="none"/>
          <w:lang w:val="en-US"/>
        </w:rPr>
        <w:t>四、其他</w:t>
      </w:r>
    </w:p>
    <w:p>
      <w:pPr>
        <w:pStyle w:val="4"/>
        <w:keepNext w:val="0"/>
        <w:keepLines w:val="0"/>
        <w:pageBreakBefore w:val="0"/>
        <w:widowControl w:val="0"/>
        <w:kinsoku/>
        <w:wordWrap/>
        <w:overflowPunct/>
        <w:topLinePunct w:val="0"/>
        <w:autoSpaceDE/>
        <w:autoSpaceDN/>
        <w:bidi w:val="0"/>
        <w:adjustRightInd/>
        <w:snapToGrid/>
        <w:spacing w:before="0" w:after="0" w:line="580" w:lineRule="exact"/>
        <w:ind w:firstLine="600"/>
        <w:jc w:val="both"/>
        <w:textAlignment w:val="auto"/>
        <w:rPr>
          <w:rFonts w:hint="eastAsia" w:ascii="仿宋_GB2312" w:hAnsi="仿宋_GB2312" w:eastAsia="仿宋_GB2312" w:cs="仿宋_GB2312"/>
          <w:b w:val="0"/>
          <w:bCs w:val="0"/>
          <w:spacing w:val="0"/>
          <w:w w:val="100"/>
          <w:highlight w:val="none"/>
        </w:rPr>
      </w:pPr>
      <w:r>
        <w:rPr>
          <w:rFonts w:hint="eastAsia" w:ascii="仿宋_GB2312" w:hAnsi="仿宋_GB2312" w:eastAsia="仿宋_GB2312" w:cs="仿宋_GB2312"/>
          <w:b w:val="0"/>
          <w:bCs w:val="0"/>
          <w:spacing w:val="0"/>
          <w:w w:val="100"/>
          <w:highlight w:val="none"/>
        </w:rPr>
        <w:t>（一）统筹做好可再生能源消纳。广西中调应综合考虑西电东送优先计划完成情况、新能源与负荷预测、水电丰枯期特性、核电功率升降特性与核电安全要求、煤电机组调峰与启停要求、调峰市场交易情况、储能运行情况、电网安全约束、电力供应等因素，合理合规安排各类电源参与调峰。确有必要调整日前计划和各类调峰手段实施顺序的，应做好记录。当采取限制可再生能源发电出力手段后，广西中调应按照有关规定做好限制发电量统计。</w:t>
      </w:r>
    </w:p>
    <w:p>
      <w:pPr>
        <w:pStyle w:val="4"/>
        <w:keepNext w:val="0"/>
        <w:keepLines w:val="0"/>
        <w:pageBreakBefore w:val="0"/>
        <w:widowControl w:val="0"/>
        <w:kinsoku/>
        <w:wordWrap/>
        <w:overflowPunct/>
        <w:topLinePunct w:val="0"/>
        <w:autoSpaceDE/>
        <w:autoSpaceDN/>
        <w:bidi w:val="0"/>
        <w:adjustRightInd/>
        <w:snapToGrid/>
        <w:spacing w:before="0" w:after="0" w:line="580" w:lineRule="exact"/>
        <w:ind w:firstLine="600"/>
        <w:jc w:val="both"/>
        <w:textAlignment w:val="auto"/>
        <w:rPr>
          <w:rFonts w:ascii="仿宋_GB2312" w:hAnsi="仿宋_GB2312" w:eastAsia="仿宋_GB2312" w:cs="仿宋_GB2312"/>
          <w:b w:val="0"/>
          <w:bCs w:val="0"/>
          <w:spacing w:val="0"/>
          <w:w w:val="100"/>
          <w:highlight w:val="none"/>
        </w:rPr>
      </w:pPr>
      <w:r>
        <w:rPr>
          <w:rFonts w:hint="eastAsia" w:ascii="仿宋_GB2312" w:hAnsi="仿宋_GB2312" w:eastAsia="仿宋_GB2312" w:cs="仿宋_GB2312"/>
          <w:b w:val="0"/>
          <w:bCs w:val="0"/>
          <w:spacing w:val="0"/>
          <w:w w:val="100"/>
          <w:highlight w:val="none"/>
        </w:rPr>
        <w:t>（二）做好日前、日内调峰衔接。省间送受电、启停调峰、应急协调手段应在日前安排，原则上日内只执行日前安排的计划，其中省间送受电可根据日内运行情况申请南网总调调整。</w:t>
      </w:r>
    </w:p>
    <w:p>
      <w:pPr>
        <w:pStyle w:val="4"/>
        <w:keepNext w:val="0"/>
        <w:keepLines w:val="0"/>
        <w:pageBreakBefore w:val="0"/>
        <w:widowControl w:val="0"/>
        <w:kinsoku/>
        <w:wordWrap/>
        <w:overflowPunct/>
        <w:topLinePunct w:val="0"/>
        <w:autoSpaceDE/>
        <w:autoSpaceDN/>
        <w:bidi w:val="0"/>
        <w:adjustRightInd/>
        <w:snapToGrid/>
        <w:spacing w:before="0" w:after="0" w:line="580" w:lineRule="exact"/>
        <w:ind w:firstLine="600"/>
        <w:jc w:val="both"/>
        <w:textAlignment w:val="auto"/>
        <w:rPr>
          <w:rFonts w:hint="eastAsia" w:ascii="仿宋_GB2312" w:hAnsi="仿宋_GB2312" w:eastAsia="仿宋_GB2312" w:cs="仿宋_GB2312"/>
          <w:b w:val="0"/>
          <w:bCs w:val="0"/>
          <w:spacing w:val="0"/>
          <w:w w:val="100"/>
          <w:highlight w:val="none"/>
        </w:rPr>
      </w:pPr>
      <w:r>
        <w:rPr>
          <w:rFonts w:hint="eastAsia" w:ascii="仿宋_GB2312" w:hAnsi="仿宋_GB2312" w:eastAsia="仿宋_GB2312" w:cs="仿宋_GB2312"/>
          <w:b w:val="0"/>
          <w:bCs w:val="0"/>
          <w:spacing w:val="0"/>
          <w:w w:val="100"/>
          <w:highlight w:val="none"/>
        </w:rPr>
        <w:t>（三）各并网运行主体应服从电力调度指令，根据本规则及其他有关规定参与运行调节，并按规定承担可能产生的运行考核或市场化交易费用。</w:t>
      </w:r>
    </w:p>
    <w:p>
      <w:pPr>
        <w:pStyle w:val="4"/>
        <w:keepNext w:val="0"/>
        <w:keepLines w:val="0"/>
        <w:pageBreakBefore w:val="0"/>
        <w:widowControl w:val="0"/>
        <w:kinsoku/>
        <w:wordWrap/>
        <w:overflowPunct/>
        <w:topLinePunct w:val="0"/>
        <w:autoSpaceDE/>
        <w:autoSpaceDN/>
        <w:bidi w:val="0"/>
        <w:adjustRightInd/>
        <w:snapToGrid/>
        <w:spacing w:before="0" w:after="0" w:line="580" w:lineRule="exact"/>
        <w:ind w:firstLine="600"/>
        <w:jc w:val="both"/>
        <w:textAlignment w:val="auto"/>
        <w:rPr>
          <w:rFonts w:hint="eastAsia" w:ascii="仿宋_GB2312" w:hAnsi="仿宋_GB2312" w:eastAsia="仿宋_GB2312" w:cs="仿宋_GB2312"/>
          <w:b w:val="0"/>
          <w:bCs w:val="0"/>
          <w:spacing w:val="0"/>
          <w:w w:val="100"/>
          <w:highlight w:val="none"/>
        </w:rPr>
      </w:pPr>
      <w:r>
        <w:rPr>
          <w:rFonts w:hint="eastAsia" w:ascii="仿宋_GB2312" w:hAnsi="仿宋_GB2312" w:eastAsia="仿宋_GB2312" w:cs="仿宋_GB2312"/>
          <w:b w:val="0"/>
          <w:bCs w:val="0"/>
          <w:spacing w:val="0"/>
          <w:w w:val="100"/>
          <w:highlight w:val="none"/>
        </w:rPr>
        <w:t>（四）各供热煤电企业应落实国家关于煤电机组“三改”联动要求，加快实施机组灵活性改造与热电解耦，提升调峰能力，减少供热对机组调峰能力的影响。必要时，自治区确定供热机组出力压减清单后，由广西中调执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_GB2312" w:hAnsi="仿宋_GB2312" w:eastAsia="仿宋_GB2312" w:cs="仿宋_GB2312"/>
          <w:spacing w:val="0"/>
          <w:w w:val="100"/>
          <w:sz w:val="32"/>
          <w:szCs w:val="32"/>
          <w:highlight w:val="none"/>
        </w:rPr>
      </w:pPr>
      <w:r>
        <w:rPr>
          <w:rFonts w:hint="eastAsia" w:ascii="仿宋_GB2312" w:hAnsi="仿宋_GB2312" w:eastAsia="仿宋_GB2312" w:cs="仿宋_GB2312"/>
          <w:spacing w:val="0"/>
          <w:w w:val="100"/>
          <w:sz w:val="32"/>
          <w:szCs w:val="32"/>
          <w:highlight w:val="none"/>
        </w:rPr>
        <w:t>本规则如遇国家、自治区政策调整，有与新政策要求不一致的，按照国家、自治区最新政策执行。</w:t>
      </w:r>
    </w:p>
    <w:p>
      <w:pPr>
        <w:spacing w:line="600" w:lineRule="exact"/>
        <w:jc w:val="left"/>
        <w:rPr>
          <w:rFonts w:hint="eastAsia" w:ascii="仿宋_GB2312" w:hAnsi="仿宋_GB2312" w:eastAsia="仿宋_GB2312" w:cs="仿宋_GB2312"/>
          <w:spacing w:val="0"/>
          <w:w w:val="100"/>
          <w:sz w:val="32"/>
          <w:szCs w:val="32"/>
          <w:highlight w:val="none"/>
        </w:rPr>
      </w:pPr>
    </w:p>
    <w:p>
      <w:pPr>
        <w:pStyle w:val="3"/>
        <w:widowControl/>
        <w:spacing w:line="600" w:lineRule="exact"/>
        <w:ind w:left="0" w:firstLine="640" w:firstLineChars="200"/>
        <w:rPr>
          <w:spacing w:val="0"/>
          <w:w w:val="100"/>
          <w:highlight w:val="none"/>
          <w:lang w:val="en-US"/>
        </w:rPr>
      </w:pPr>
    </w:p>
    <w:sectPr>
      <w:footerReference r:id="rId3" w:type="default"/>
      <w:pgSz w:w="11906" w:h="16838"/>
      <w:pgMar w:top="1417" w:right="1587"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rPr>
                    <w:rFonts w:hint="eastAsia" w:ascii="仿宋_GB2312" w:hAnsi="仿宋_GB2312" w:eastAsia="仿宋_GB2312" w:cs="仿宋_GB2312"/>
                  </w:rPr>
                </w:pPr>
                <w:r>
                  <w:rPr>
                    <w:rFonts w:hint="eastAsia" w:ascii="仿宋_GB2312" w:hAnsi="仿宋_GB2312" w:eastAsia="仿宋_GB2312" w:cs="仿宋_GB2312"/>
                  </w:rPr>
                  <w:t xml:space="preserve">第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ascii="仿宋_GB2312" w:hAnsi="仿宋_GB2312" w:eastAsia="仿宋_GB2312" w:cs="仿宋_GB2312"/>
                  </w:rPr>
                  <w:t>3</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页 共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NUMPAGES  \* MERGEFORMAT </w:instrText>
                </w:r>
                <w:r>
                  <w:rPr>
                    <w:rFonts w:hint="eastAsia" w:ascii="仿宋_GB2312" w:hAnsi="仿宋_GB2312" w:eastAsia="仿宋_GB2312" w:cs="仿宋_GB2312"/>
                  </w:rPr>
                  <w:fldChar w:fldCharType="separate"/>
                </w:r>
                <w:r>
                  <w:rPr>
                    <w:rFonts w:ascii="仿宋_GB2312" w:hAnsi="仿宋_GB2312" w:eastAsia="仿宋_GB2312" w:cs="仿宋_GB2312"/>
                  </w:rPr>
                  <w:t>7</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documentProtection w:enforcement="0"/>
  <w:defaultTabStop w:val="420"/>
  <w:drawingGridVerticalSpacing w:val="156"/>
  <w:doNotShadeFormData w:val="1"/>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96EF1"/>
    <w:rsid w:val="00120DFF"/>
    <w:rsid w:val="001D6FBC"/>
    <w:rsid w:val="002E6413"/>
    <w:rsid w:val="00554077"/>
    <w:rsid w:val="0057646E"/>
    <w:rsid w:val="0075250B"/>
    <w:rsid w:val="009B2045"/>
    <w:rsid w:val="00A22D83"/>
    <w:rsid w:val="00A4312F"/>
    <w:rsid w:val="00A55BCE"/>
    <w:rsid w:val="00A97C8E"/>
    <w:rsid w:val="00AB56CC"/>
    <w:rsid w:val="00AB6CA7"/>
    <w:rsid w:val="00B52D4A"/>
    <w:rsid w:val="00CB3771"/>
    <w:rsid w:val="00DF119F"/>
    <w:rsid w:val="00E367E8"/>
    <w:rsid w:val="00F238D7"/>
    <w:rsid w:val="00F504FA"/>
    <w:rsid w:val="00F6128A"/>
    <w:rsid w:val="00FE274C"/>
    <w:rsid w:val="00FF33BC"/>
    <w:rsid w:val="012D3AAF"/>
    <w:rsid w:val="01372D4D"/>
    <w:rsid w:val="014624FA"/>
    <w:rsid w:val="014D72F8"/>
    <w:rsid w:val="016B3379"/>
    <w:rsid w:val="016D6E20"/>
    <w:rsid w:val="0188343A"/>
    <w:rsid w:val="018F6608"/>
    <w:rsid w:val="01A544B3"/>
    <w:rsid w:val="01A7647D"/>
    <w:rsid w:val="01AA1072"/>
    <w:rsid w:val="01AC6614"/>
    <w:rsid w:val="01BA7A81"/>
    <w:rsid w:val="01CD3528"/>
    <w:rsid w:val="01CF41FB"/>
    <w:rsid w:val="01EB0139"/>
    <w:rsid w:val="01F26121"/>
    <w:rsid w:val="020C07A6"/>
    <w:rsid w:val="020F0C06"/>
    <w:rsid w:val="021F3AC3"/>
    <w:rsid w:val="0229559C"/>
    <w:rsid w:val="0259656F"/>
    <w:rsid w:val="02707AAC"/>
    <w:rsid w:val="0277554E"/>
    <w:rsid w:val="02894A48"/>
    <w:rsid w:val="02A862AA"/>
    <w:rsid w:val="02C12F35"/>
    <w:rsid w:val="02C25379"/>
    <w:rsid w:val="02D269BB"/>
    <w:rsid w:val="02D959C9"/>
    <w:rsid w:val="02EC43C9"/>
    <w:rsid w:val="02EF3A71"/>
    <w:rsid w:val="02FB37F6"/>
    <w:rsid w:val="031B566F"/>
    <w:rsid w:val="032C0BBF"/>
    <w:rsid w:val="03595AC7"/>
    <w:rsid w:val="03797FAC"/>
    <w:rsid w:val="038B3652"/>
    <w:rsid w:val="03A1E59D"/>
    <w:rsid w:val="03C153CF"/>
    <w:rsid w:val="03D767EB"/>
    <w:rsid w:val="03DB63E6"/>
    <w:rsid w:val="03E11AD1"/>
    <w:rsid w:val="03E20FB7"/>
    <w:rsid w:val="03E3065F"/>
    <w:rsid w:val="03F36236"/>
    <w:rsid w:val="03FC4E26"/>
    <w:rsid w:val="04100AF3"/>
    <w:rsid w:val="041820B9"/>
    <w:rsid w:val="04254C42"/>
    <w:rsid w:val="04307840"/>
    <w:rsid w:val="04382590"/>
    <w:rsid w:val="04502D26"/>
    <w:rsid w:val="045378B8"/>
    <w:rsid w:val="04542B1F"/>
    <w:rsid w:val="046023B3"/>
    <w:rsid w:val="04630B7F"/>
    <w:rsid w:val="046340D7"/>
    <w:rsid w:val="04761E0D"/>
    <w:rsid w:val="04777EC7"/>
    <w:rsid w:val="049A520D"/>
    <w:rsid w:val="049D57E3"/>
    <w:rsid w:val="04A66A44"/>
    <w:rsid w:val="04A74419"/>
    <w:rsid w:val="04D73ABE"/>
    <w:rsid w:val="04D906BE"/>
    <w:rsid w:val="04DA6C05"/>
    <w:rsid w:val="050123CB"/>
    <w:rsid w:val="05043AB2"/>
    <w:rsid w:val="051402A5"/>
    <w:rsid w:val="052724C3"/>
    <w:rsid w:val="052971A9"/>
    <w:rsid w:val="05303023"/>
    <w:rsid w:val="054837CA"/>
    <w:rsid w:val="05532F2D"/>
    <w:rsid w:val="055939A9"/>
    <w:rsid w:val="055A6389"/>
    <w:rsid w:val="05765F3C"/>
    <w:rsid w:val="05C02CCC"/>
    <w:rsid w:val="05C37612"/>
    <w:rsid w:val="05C4147F"/>
    <w:rsid w:val="05E4409E"/>
    <w:rsid w:val="05EA589D"/>
    <w:rsid w:val="05F433E2"/>
    <w:rsid w:val="05FB6AB5"/>
    <w:rsid w:val="060E648C"/>
    <w:rsid w:val="0611099E"/>
    <w:rsid w:val="061A39F1"/>
    <w:rsid w:val="061E541A"/>
    <w:rsid w:val="0628072B"/>
    <w:rsid w:val="064A2603"/>
    <w:rsid w:val="06531431"/>
    <w:rsid w:val="065C799E"/>
    <w:rsid w:val="067236FC"/>
    <w:rsid w:val="06763137"/>
    <w:rsid w:val="067C21DF"/>
    <w:rsid w:val="068C2181"/>
    <w:rsid w:val="06B33B3B"/>
    <w:rsid w:val="06CA047E"/>
    <w:rsid w:val="06CD5AE0"/>
    <w:rsid w:val="06E947BE"/>
    <w:rsid w:val="06F44717"/>
    <w:rsid w:val="06F91606"/>
    <w:rsid w:val="0710676F"/>
    <w:rsid w:val="07121423"/>
    <w:rsid w:val="071C07FC"/>
    <w:rsid w:val="072D0038"/>
    <w:rsid w:val="072D449F"/>
    <w:rsid w:val="074745FD"/>
    <w:rsid w:val="07550F41"/>
    <w:rsid w:val="076E163A"/>
    <w:rsid w:val="077955F3"/>
    <w:rsid w:val="077A3817"/>
    <w:rsid w:val="077D3D24"/>
    <w:rsid w:val="078151DF"/>
    <w:rsid w:val="07826BBF"/>
    <w:rsid w:val="07875F53"/>
    <w:rsid w:val="07A654B9"/>
    <w:rsid w:val="07C250A7"/>
    <w:rsid w:val="07C76CEF"/>
    <w:rsid w:val="07D571E3"/>
    <w:rsid w:val="07D764BE"/>
    <w:rsid w:val="07E16421"/>
    <w:rsid w:val="07E258B0"/>
    <w:rsid w:val="07E819B5"/>
    <w:rsid w:val="07F55417"/>
    <w:rsid w:val="07F97BE8"/>
    <w:rsid w:val="08214C12"/>
    <w:rsid w:val="082469A9"/>
    <w:rsid w:val="08293AEC"/>
    <w:rsid w:val="08354712"/>
    <w:rsid w:val="08453DAA"/>
    <w:rsid w:val="084D34BE"/>
    <w:rsid w:val="086031B8"/>
    <w:rsid w:val="08656A4E"/>
    <w:rsid w:val="087DC062"/>
    <w:rsid w:val="089424C5"/>
    <w:rsid w:val="08992E06"/>
    <w:rsid w:val="08A03C24"/>
    <w:rsid w:val="08B54FF7"/>
    <w:rsid w:val="08E05092"/>
    <w:rsid w:val="08F40887"/>
    <w:rsid w:val="090D48D8"/>
    <w:rsid w:val="091268FA"/>
    <w:rsid w:val="09127FB6"/>
    <w:rsid w:val="09144DAE"/>
    <w:rsid w:val="0929601C"/>
    <w:rsid w:val="09296C8D"/>
    <w:rsid w:val="092D691D"/>
    <w:rsid w:val="09343A56"/>
    <w:rsid w:val="095639C9"/>
    <w:rsid w:val="095704A5"/>
    <w:rsid w:val="09777F8B"/>
    <w:rsid w:val="09937931"/>
    <w:rsid w:val="099461B4"/>
    <w:rsid w:val="09A311EB"/>
    <w:rsid w:val="09AA21FD"/>
    <w:rsid w:val="09B043D7"/>
    <w:rsid w:val="09B138A1"/>
    <w:rsid w:val="09C2509F"/>
    <w:rsid w:val="09CD4F4B"/>
    <w:rsid w:val="0A155FD8"/>
    <w:rsid w:val="0A1A6ED4"/>
    <w:rsid w:val="0A214817"/>
    <w:rsid w:val="0A2E390F"/>
    <w:rsid w:val="0A5F6747"/>
    <w:rsid w:val="0A605D45"/>
    <w:rsid w:val="0A6E3E26"/>
    <w:rsid w:val="0A7348BC"/>
    <w:rsid w:val="0A7A0587"/>
    <w:rsid w:val="0A870518"/>
    <w:rsid w:val="0AB36E22"/>
    <w:rsid w:val="0AC95C4F"/>
    <w:rsid w:val="0AC96279"/>
    <w:rsid w:val="0ACA005A"/>
    <w:rsid w:val="0AE61A29"/>
    <w:rsid w:val="0AF243F4"/>
    <w:rsid w:val="0AFC2E8E"/>
    <w:rsid w:val="0B02141F"/>
    <w:rsid w:val="0B074595"/>
    <w:rsid w:val="0B2464E3"/>
    <w:rsid w:val="0B282B42"/>
    <w:rsid w:val="0B3512A5"/>
    <w:rsid w:val="0B37401E"/>
    <w:rsid w:val="0B472481"/>
    <w:rsid w:val="0B4B2039"/>
    <w:rsid w:val="0B741184"/>
    <w:rsid w:val="0B78442A"/>
    <w:rsid w:val="0B852EEB"/>
    <w:rsid w:val="0BA53824"/>
    <w:rsid w:val="0BAB7321"/>
    <w:rsid w:val="0BB34094"/>
    <w:rsid w:val="0BD02DF1"/>
    <w:rsid w:val="0BD65F06"/>
    <w:rsid w:val="0BDB5BAC"/>
    <w:rsid w:val="0BEB4D01"/>
    <w:rsid w:val="0BEB57ED"/>
    <w:rsid w:val="0C1A1A66"/>
    <w:rsid w:val="0C317061"/>
    <w:rsid w:val="0C323D10"/>
    <w:rsid w:val="0C3F4E32"/>
    <w:rsid w:val="0C5036FE"/>
    <w:rsid w:val="0C54496C"/>
    <w:rsid w:val="0C6228A3"/>
    <w:rsid w:val="0C805D85"/>
    <w:rsid w:val="0C806DC3"/>
    <w:rsid w:val="0C9964A0"/>
    <w:rsid w:val="0CA03F4A"/>
    <w:rsid w:val="0CA37DEF"/>
    <w:rsid w:val="0CAB2B57"/>
    <w:rsid w:val="0CBC4085"/>
    <w:rsid w:val="0CCF6BFF"/>
    <w:rsid w:val="0CD7679E"/>
    <w:rsid w:val="0CE622F1"/>
    <w:rsid w:val="0CFE053B"/>
    <w:rsid w:val="0D0F708B"/>
    <w:rsid w:val="0D1B3947"/>
    <w:rsid w:val="0D3129B3"/>
    <w:rsid w:val="0D430B33"/>
    <w:rsid w:val="0D473F69"/>
    <w:rsid w:val="0D526073"/>
    <w:rsid w:val="0D572FA0"/>
    <w:rsid w:val="0D6300B7"/>
    <w:rsid w:val="0D866B83"/>
    <w:rsid w:val="0D954254"/>
    <w:rsid w:val="0D9C0EFA"/>
    <w:rsid w:val="0DA748B9"/>
    <w:rsid w:val="0DD10C8B"/>
    <w:rsid w:val="0DDF3A17"/>
    <w:rsid w:val="0DF26C5F"/>
    <w:rsid w:val="0DF465A6"/>
    <w:rsid w:val="0E2B5DFE"/>
    <w:rsid w:val="0E613C9A"/>
    <w:rsid w:val="0E6352A9"/>
    <w:rsid w:val="0E661657"/>
    <w:rsid w:val="0E6F4860"/>
    <w:rsid w:val="0E7C2ADF"/>
    <w:rsid w:val="0E7F3A8F"/>
    <w:rsid w:val="0EB07657"/>
    <w:rsid w:val="0EB9132E"/>
    <w:rsid w:val="0EB9F494"/>
    <w:rsid w:val="0EBB0C44"/>
    <w:rsid w:val="0ED72D1B"/>
    <w:rsid w:val="0EED04A4"/>
    <w:rsid w:val="0EF34990"/>
    <w:rsid w:val="0EF41040"/>
    <w:rsid w:val="0EF93BA7"/>
    <w:rsid w:val="0F0607E2"/>
    <w:rsid w:val="0F7A5A61"/>
    <w:rsid w:val="0F8F7832"/>
    <w:rsid w:val="0F9C2DE8"/>
    <w:rsid w:val="0FB92088"/>
    <w:rsid w:val="0FBB1C9E"/>
    <w:rsid w:val="0FC825F2"/>
    <w:rsid w:val="0FD72B24"/>
    <w:rsid w:val="0FE3688A"/>
    <w:rsid w:val="0FEA3738"/>
    <w:rsid w:val="0FF31A8D"/>
    <w:rsid w:val="1009710B"/>
    <w:rsid w:val="101D1FBF"/>
    <w:rsid w:val="101E7EB0"/>
    <w:rsid w:val="102210F6"/>
    <w:rsid w:val="102D2C86"/>
    <w:rsid w:val="103876BD"/>
    <w:rsid w:val="103B4D86"/>
    <w:rsid w:val="103D18F6"/>
    <w:rsid w:val="10514312"/>
    <w:rsid w:val="107E023A"/>
    <w:rsid w:val="10AC4133"/>
    <w:rsid w:val="10B94F4B"/>
    <w:rsid w:val="10C27F86"/>
    <w:rsid w:val="10D010BF"/>
    <w:rsid w:val="10DD41E3"/>
    <w:rsid w:val="10E09D05"/>
    <w:rsid w:val="10F96219"/>
    <w:rsid w:val="10FE5C45"/>
    <w:rsid w:val="11063469"/>
    <w:rsid w:val="110A49B9"/>
    <w:rsid w:val="11140F7F"/>
    <w:rsid w:val="11266D84"/>
    <w:rsid w:val="112B60AF"/>
    <w:rsid w:val="11455A6A"/>
    <w:rsid w:val="114F166A"/>
    <w:rsid w:val="116C65CF"/>
    <w:rsid w:val="11A7195E"/>
    <w:rsid w:val="11D746D8"/>
    <w:rsid w:val="11DF495D"/>
    <w:rsid w:val="11E8176A"/>
    <w:rsid w:val="12120280"/>
    <w:rsid w:val="121F35DB"/>
    <w:rsid w:val="123F5193"/>
    <w:rsid w:val="12415328"/>
    <w:rsid w:val="124A5B3F"/>
    <w:rsid w:val="12552E82"/>
    <w:rsid w:val="12600042"/>
    <w:rsid w:val="12600AAE"/>
    <w:rsid w:val="12694021"/>
    <w:rsid w:val="12815698"/>
    <w:rsid w:val="12912E05"/>
    <w:rsid w:val="12994965"/>
    <w:rsid w:val="12AD0758"/>
    <w:rsid w:val="12B118CD"/>
    <w:rsid w:val="12B23DB0"/>
    <w:rsid w:val="12B51B52"/>
    <w:rsid w:val="12C6071F"/>
    <w:rsid w:val="12D43E26"/>
    <w:rsid w:val="12D54C18"/>
    <w:rsid w:val="12E0711E"/>
    <w:rsid w:val="12EA2132"/>
    <w:rsid w:val="12F52C6D"/>
    <w:rsid w:val="12FB53A5"/>
    <w:rsid w:val="12FF7796"/>
    <w:rsid w:val="130F71D4"/>
    <w:rsid w:val="131D179E"/>
    <w:rsid w:val="132C0D99"/>
    <w:rsid w:val="13370DA3"/>
    <w:rsid w:val="13594210"/>
    <w:rsid w:val="13776176"/>
    <w:rsid w:val="137963B2"/>
    <w:rsid w:val="13861B1D"/>
    <w:rsid w:val="139F154C"/>
    <w:rsid w:val="13A229A4"/>
    <w:rsid w:val="13C044BA"/>
    <w:rsid w:val="13C81765"/>
    <w:rsid w:val="13C91D2F"/>
    <w:rsid w:val="13D135AE"/>
    <w:rsid w:val="13D37E40"/>
    <w:rsid w:val="13DA3651"/>
    <w:rsid w:val="13F57F58"/>
    <w:rsid w:val="13FE6D18"/>
    <w:rsid w:val="141C08DD"/>
    <w:rsid w:val="14404FA5"/>
    <w:rsid w:val="14447253"/>
    <w:rsid w:val="144A4CC5"/>
    <w:rsid w:val="14601505"/>
    <w:rsid w:val="14607FCB"/>
    <w:rsid w:val="14651958"/>
    <w:rsid w:val="146A20A3"/>
    <w:rsid w:val="14767F13"/>
    <w:rsid w:val="14792098"/>
    <w:rsid w:val="148C7515"/>
    <w:rsid w:val="1491006A"/>
    <w:rsid w:val="1492690A"/>
    <w:rsid w:val="14A20527"/>
    <w:rsid w:val="14AE2E88"/>
    <w:rsid w:val="14B15826"/>
    <w:rsid w:val="14B24B4A"/>
    <w:rsid w:val="14BE6F03"/>
    <w:rsid w:val="14C779DF"/>
    <w:rsid w:val="14EB490C"/>
    <w:rsid w:val="14F62FFD"/>
    <w:rsid w:val="151F32D7"/>
    <w:rsid w:val="152476C4"/>
    <w:rsid w:val="15283F68"/>
    <w:rsid w:val="1532004F"/>
    <w:rsid w:val="15533F74"/>
    <w:rsid w:val="15716DAD"/>
    <w:rsid w:val="157458E5"/>
    <w:rsid w:val="15794B4B"/>
    <w:rsid w:val="15A2100D"/>
    <w:rsid w:val="15AC12F9"/>
    <w:rsid w:val="15B17984"/>
    <w:rsid w:val="15C410ED"/>
    <w:rsid w:val="15F16E38"/>
    <w:rsid w:val="161E00A8"/>
    <w:rsid w:val="16277957"/>
    <w:rsid w:val="16411A41"/>
    <w:rsid w:val="16417110"/>
    <w:rsid w:val="16423EB8"/>
    <w:rsid w:val="164E7B24"/>
    <w:rsid w:val="16531E53"/>
    <w:rsid w:val="165B0D4B"/>
    <w:rsid w:val="16653DEE"/>
    <w:rsid w:val="166D70FD"/>
    <w:rsid w:val="16790861"/>
    <w:rsid w:val="16923C90"/>
    <w:rsid w:val="169E68CF"/>
    <w:rsid w:val="16A02D82"/>
    <w:rsid w:val="16A93B65"/>
    <w:rsid w:val="16B7147F"/>
    <w:rsid w:val="16C005E1"/>
    <w:rsid w:val="16C00A3F"/>
    <w:rsid w:val="16F02149"/>
    <w:rsid w:val="17005927"/>
    <w:rsid w:val="17182642"/>
    <w:rsid w:val="171E1FF6"/>
    <w:rsid w:val="1720121D"/>
    <w:rsid w:val="173249FF"/>
    <w:rsid w:val="17410DFD"/>
    <w:rsid w:val="17537460"/>
    <w:rsid w:val="17660D57"/>
    <w:rsid w:val="176D7380"/>
    <w:rsid w:val="177246F4"/>
    <w:rsid w:val="17773C75"/>
    <w:rsid w:val="177D7C56"/>
    <w:rsid w:val="177E4209"/>
    <w:rsid w:val="179A781A"/>
    <w:rsid w:val="17B36D8D"/>
    <w:rsid w:val="17BD2289"/>
    <w:rsid w:val="17BF0DD7"/>
    <w:rsid w:val="17C45513"/>
    <w:rsid w:val="17C50E47"/>
    <w:rsid w:val="17DB52C0"/>
    <w:rsid w:val="17DB770B"/>
    <w:rsid w:val="17EC5D21"/>
    <w:rsid w:val="17FE7678"/>
    <w:rsid w:val="18015D5C"/>
    <w:rsid w:val="18045201"/>
    <w:rsid w:val="18072ECB"/>
    <w:rsid w:val="181D0D63"/>
    <w:rsid w:val="18284385"/>
    <w:rsid w:val="182E18BB"/>
    <w:rsid w:val="182E403B"/>
    <w:rsid w:val="183264A9"/>
    <w:rsid w:val="184E7BE3"/>
    <w:rsid w:val="1854760E"/>
    <w:rsid w:val="185577C1"/>
    <w:rsid w:val="185F0A9C"/>
    <w:rsid w:val="187B7057"/>
    <w:rsid w:val="187E3D3A"/>
    <w:rsid w:val="18803115"/>
    <w:rsid w:val="188A23CE"/>
    <w:rsid w:val="189E3ACC"/>
    <w:rsid w:val="18AC7BBD"/>
    <w:rsid w:val="18B770BB"/>
    <w:rsid w:val="18CE1A07"/>
    <w:rsid w:val="19055260"/>
    <w:rsid w:val="190739C6"/>
    <w:rsid w:val="190916CE"/>
    <w:rsid w:val="1911211C"/>
    <w:rsid w:val="19176F8B"/>
    <w:rsid w:val="192C096E"/>
    <w:rsid w:val="192D4717"/>
    <w:rsid w:val="19391C50"/>
    <w:rsid w:val="194A52F7"/>
    <w:rsid w:val="194A792D"/>
    <w:rsid w:val="19574E91"/>
    <w:rsid w:val="19782547"/>
    <w:rsid w:val="1984724A"/>
    <w:rsid w:val="19BB73BB"/>
    <w:rsid w:val="19BC341C"/>
    <w:rsid w:val="19BF5116"/>
    <w:rsid w:val="19C9297D"/>
    <w:rsid w:val="19E5367E"/>
    <w:rsid w:val="1A1D5F83"/>
    <w:rsid w:val="1A287E0B"/>
    <w:rsid w:val="1A3331D3"/>
    <w:rsid w:val="1A586CE8"/>
    <w:rsid w:val="1A65426E"/>
    <w:rsid w:val="1A6F211E"/>
    <w:rsid w:val="1A705AC8"/>
    <w:rsid w:val="1A7C101C"/>
    <w:rsid w:val="1A7F6BE8"/>
    <w:rsid w:val="1A8054C4"/>
    <w:rsid w:val="1A8F64E3"/>
    <w:rsid w:val="1A98276B"/>
    <w:rsid w:val="1A9837A2"/>
    <w:rsid w:val="1A9B5D6D"/>
    <w:rsid w:val="1AA2570D"/>
    <w:rsid w:val="1AA66156"/>
    <w:rsid w:val="1AA702CE"/>
    <w:rsid w:val="1AAF2B12"/>
    <w:rsid w:val="1ADD1AA8"/>
    <w:rsid w:val="1AE10F57"/>
    <w:rsid w:val="1AE46F7D"/>
    <w:rsid w:val="1AEB6F83"/>
    <w:rsid w:val="1B0E3311"/>
    <w:rsid w:val="1B2020BF"/>
    <w:rsid w:val="1B2307A5"/>
    <w:rsid w:val="1B3A369F"/>
    <w:rsid w:val="1B3B6027"/>
    <w:rsid w:val="1B3E33AD"/>
    <w:rsid w:val="1B4765B7"/>
    <w:rsid w:val="1B5E386C"/>
    <w:rsid w:val="1B69048D"/>
    <w:rsid w:val="1B793C87"/>
    <w:rsid w:val="1B8147E3"/>
    <w:rsid w:val="1B8B1A9F"/>
    <w:rsid w:val="1B95710B"/>
    <w:rsid w:val="1B9C5B87"/>
    <w:rsid w:val="1BAB4C12"/>
    <w:rsid w:val="1BAE122D"/>
    <w:rsid w:val="1BB7557D"/>
    <w:rsid w:val="1BB7772B"/>
    <w:rsid w:val="1BD356D9"/>
    <w:rsid w:val="1BEA3AA4"/>
    <w:rsid w:val="1BEC34E8"/>
    <w:rsid w:val="1BF21D92"/>
    <w:rsid w:val="1BFE628D"/>
    <w:rsid w:val="1C017CC3"/>
    <w:rsid w:val="1C4133E4"/>
    <w:rsid w:val="1C567F39"/>
    <w:rsid w:val="1C573DF4"/>
    <w:rsid w:val="1C762DD1"/>
    <w:rsid w:val="1C7C3F29"/>
    <w:rsid w:val="1C82166D"/>
    <w:rsid w:val="1C886650"/>
    <w:rsid w:val="1C8C11B8"/>
    <w:rsid w:val="1C8F3EE8"/>
    <w:rsid w:val="1C96EA06"/>
    <w:rsid w:val="1C986C8D"/>
    <w:rsid w:val="1C9E27B4"/>
    <w:rsid w:val="1C9F3A8B"/>
    <w:rsid w:val="1CA23D6C"/>
    <w:rsid w:val="1CB447DF"/>
    <w:rsid w:val="1CB755CD"/>
    <w:rsid w:val="1CBE6A79"/>
    <w:rsid w:val="1CC76705"/>
    <w:rsid w:val="1CDB6795"/>
    <w:rsid w:val="1CE41EDC"/>
    <w:rsid w:val="1CE55F7D"/>
    <w:rsid w:val="1CF60711"/>
    <w:rsid w:val="1CFB767E"/>
    <w:rsid w:val="1CFD3D88"/>
    <w:rsid w:val="1D161515"/>
    <w:rsid w:val="1D242CB1"/>
    <w:rsid w:val="1D2D38BF"/>
    <w:rsid w:val="1D34759F"/>
    <w:rsid w:val="1D3C6C15"/>
    <w:rsid w:val="1D3F069E"/>
    <w:rsid w:val="1D482031"/>
    <w:rsid w:val="1D4A48A9"/>
    <w:rsid w:val="1D4C4073"/>
    <w:rsid w:val="1D525496"/>
    <w:rsid w:val="1D700179"/>
    <w:rsid w:val="1D800C1F"/>
    <w:rsid w:val="1D8F6ED6"/>
    <w:rsid w:val="1D930A18"/>
    <w:rsid w:val="1D94410F"/>
    <w:rsid w:val="1D963FED"/>
    <w:rsid w:val="1DA28360"/>
    <w:rsid w:val="1DBC3D74"/>
    <w:rsid w:val="1DC9631B"/>
    <w:rsid w:val="1DEB6D85"/>
    <w:rsid w:val="1DEF342A"/>
    <w:rsid w:val="1DF24EFC"/>
    <w:rsid w:val="1DF25B96"/>
    <w:rsid w:val="1DFE53BA"/>
    <w:rsid w:val="1E0F1ACF"/>
    <w:rsid w:val="1E167F08"/>
    <w:rsid w:val="1E170AF0"/>
    <w:rsid w:val="1E185936"/>
    <w:rsid w:val="1E1E5DC5"/>
    <w:rsid w:val="1E2122DC"/>
    <w:rsid w:val="1E433EC6"/>
    <w:rsid w:val="1E4B029B"/>
    <w:rsid w:val="1E754405"/>
    <w:rsid w:val="1E7B3007"/>
    <w:rsid w:val="1EA409B2"/>
    <w:rsid w:val="1EC67A7C"/>
    <w:rsid w:val="1EC82213"/>
    <w:rsid w:val="1EEC29F2"/>
    <w:rsid w:val="1EF42E1A"/>
    <w:rsid w:val="1EFE67BC"/>
    <w:rsid w:val="1F133435"/>
    <w:rsid w:val="1F251C50"/>
    <w:rsid w:val="1F49242D"/>
    <w:rsid w:val="1F495E72"/>
    <w:rsid w:val="1F4B4252"/>
    <w:rsid w:val="1F525963"/>
    <w:rsid w:val="1F5952A7"/>
    <w:rsid w:val="1F5E4169"/>
    <w:rsid w:val="1F6C7F11"/>
    <w:rsid w:val="1F835307"/>
    <w:rsid w:val="1F8C3B3D"/>
    <w:rsid w:val="1F8C78BB"/>
    <w:rsid w:val="1F945DAD"/>
    <w:rsid w:val="1F9D35C8"/>
    <w:rsid w:val="1FA442BE"/>
    <w:rsid w:val="1FCD3435"/>
    <w:rsid w:val="1FE07513"/>
    <w:rsid w:val="200C4517"/>
    <w:rsid w:val="202319F8"/>
    <w:rsid w:val="2023411B"/>
    <w:rsid w:val="20285522"/>
    <w:rsid w:val="202975FF"/>
    <w:rsid w:val="202C5BF9"/>
    <w:rsid w:val="20511B23"/>
    <w:rsid w:val="205215F0"/>
    <w:rsid w:val="20563193"/>
    <w:rsid w:val="20570269"/>
    <w:rsid w:val="2064795B"/>
    <w:rsid w:val="2090447B"/>
    <w:rsid w:val="20936E92"/>
    <w:rsid w:val="209F1CD4"/>
    <w:rsid w:val="20CD0B5B"/>
    <w:rsid w:val="20D11A4E"/>
    <w:rsid w:val="20DB2B5C"/>
    <w:rsid w:val="20EC742C"/>
    <w:rsid w:val="20EE2BAF"/>
    <w:rsid w:val="20FD7003"/>
    <w:rsid w:val="2104189A"/>
    <w:rsid w:val="2104652A"/>
    <w:rsid w:val="210504D3"/>
    <w:rsid w:val="2129313A"/>
    <w:rsid w:val="212C753E"/>
    <w:rsid w:val="213D44F8"/>
    <w:rsid w:val="21435337"/>
    <w:rsid w:val="21437929"/>
    <w:rsid w:val="21543869"/>
    <w:rsid w:val="21554BD5"/>
    <w:rsid w:val="216110F7"/>
    <w:rsid w:val="21653400"/>
    <w:rsid w:val="21810E30"/>
    <w:rsid w:val="218214F5"/>
    <w:rsid w:val="218A331B"/>
    <w:rsid w:val="218E7D12"/>
    <w:rsid w:val="218F724B"/>
    <w:rsid w:val="219167E1"/>
    <w:rsid w:val="21A47014"/>
    <w:rsid w:val="21AE07E6"/>
    <w:rsid w:val="21D63D44"/>
    <w:rsid w:val="21FF63A7"/>
    <w:rsid w:val="2209D5C7"/>
    <w:rsid w:val="22233235"/>
    <w:rsid w:val="22391A6D"/>
    <w:rsid w:val="224E4FCE"/>
    <w:rsid w:val="22597F51"/>
    <w:rsid w:val="227F7592"/>
    <w:rsid w:val="228924FA"/>
    <w:rsid w:val="22A17528"/>
    <w:rsid w:val="22A2002B"/>
    <w:rsid w:val="22A62482"/>
    <w:rsid w:val="22AF09D6"/>
    <w:rsid w:val="23085390"/>
    <w:rsid w:val="230B7DD7"/>
    <w:rsid w:val="231370C0"/>
    <w:rsid w:val="232F5F2C"/>
    <w:rsid w:val="23345FA9"/>
    <w:rsid w:val="2343763E"/>
    <w:rsid w:val="234F50F9"/>
    <w:rsid w:val="236F79B1"/>
    <w:rsid w:val="237E3B9D"/>
    <w:rsid w:val="23925F62"/>
    <w:rsid w:val="23A160F2"/>
    <w:rsid w:val="23AF4800"/>
    <w:rsid w:val="23C66EE6"/>
    <w:rsid w:val="23C93E80"/>
    <w:rsid w:val="23D26E1C"/>
    <w:rsid w:val="23DE3640"/>
    <w:rsid w:val="23E53872"/>
    <w:rsid w:val="23F33C17"/>
    <w:rsid w:val="23FE1B21"/>
    <w:rsid w:val="245C0633"/>
    <w:rsid w:val="2468360C"/>
    <w:rsid w:val="246F4830"/>
    <w:rsid w:val="24703453"/>
    <w:rsid w:val="24725B41"/>
    <w:rsid w:val="247F23BE"/>
    <w:rsid w:val="248B193A"/>
    <w:rsid w:val="249F75D9"/>
    <w:rsid w:val="24A6002F"/>
    <w:rsid w:val="24A61935"/>
    <w:rsid w:val="24CB2A3A"/>
    <w:rsid w:val="24CC0DF1"/>
    <w:rsid w:val="24CC5BFF"/>
    <w:rsid w:val="24CC7F88"/>
    <w:rsid w:val="24DB0D34"/>
    <w:rsid w:val="24DB2267"/>
    <w:rsid w:val="24DD74E0"/>
    <w:rsid w:val="24FA6DA9"/>
    <w:rsid w:val="252309AB"/>
    <w:rsid w:val="25262E20"/>
    <w:rsid w:val="25302BFD"/>
    <w:rsid w:val="25306E84"/>
    <w:rsid w:val="25317F92"/>
    <w:rsid w:val="253612F8"/>
    <w:rsid w:val="253B07EB"/>
    <w:rsid w:val="253E46DC"/>
    <w:rsid w:val="254B5927"/>
    <w:rsid w:val="25593513"/>
    <w:rsid w:val="25A57FCF"/>
    <w:rsid w:val="25A70F12"/>
    <w:rsid w:val="25A833A2"/>
    <w:rsid w:val="25A949D9"/>
    <w:rsid w:val="25AB1D5C"/>
    <w:rsid w:val="25B35C25"/>
    <w:rsid w:val="25D46368"/>
    <w:rsid w:val="25EA1793"/>
    <w:rsid w:val="25F406D1"/>
    <w:rsid w:val="25FD49F4"/>
    <w:rsid w:val="25FE236C"/>
    <w:rsid w:val="26003962"/>
    <w:rsid w:val="26036D68"/>
    <w:rsid w:val="26044D93"/>
    <w:rsid w:val="260B16E5"/>
    <w:rsid w:val="261D70AC"/>
    <w:rsid w:val="26375D62"/>
    <w:rsid w:val="264B02D8"/>
    <w:rsid w:val="266F191A"/>
    <w:rsid w:val="2671096B"/>
    <w:rsid w:val="26884381"/>
    <w:rsid w:val="26C32AAD"/>
    <w:rsid w:val="26CB5EEB"/>
    <w:rsid w:val="26D93746"/>
    <w:rsid w:val="26EF5E84"/>
    <w:rsid w:val="26F7419A"/>
    <w:rsid w:val="27136B20"/>
    <w:rsid w:val="271C307F"/>
    <w:rsid w:val="272C7D94"/>
    <w:rsid w:val="2731051E"/>
    <w:rsid w:val="273B38BE"/>
    <w:rsid w:val="274964ED"/>
    <w:rsid w:val="274F3DD1"/>
    <w:rsid w:val="275F6FBD"/>
    <w:rsid w:val="2763028B"/>
    <w:rsid w:val="27795A6A"/>
    <w:rsid w:val="277A5151"/>
    <w:rsid w:val="277E2296"/>
    <w:rsid w:val="277E680F"/>
    <w:rsid w:val="278137BC"/>
    <w:rsid w:val="279F0550"/>
    <w:rsid w:val="27AF72D3"/>
    <w:rsid w:val="27B23B50"/>
    <w:rsid w:val="27B808D2"/>
    <w:rsid w:val="27F13C71"/>
    <w:rsid w:val="28196BEB"/>
    <w:rsid w:val="281D67EF"/>
    <w:rsid w:val="28213E80"/>
    <w:rsid w:val="282376D1"/>
    <w:rsid w:val="28267BEF"/>
    <w:rsid w:val="283F090E"/>
    <w:rsid w:val="284B1403"/>
    <w:rsid w:val="284B478E"/>
    <w:rsid w:val="28591B2A"/>
    <w:rsid w:val="285B5071"/>
    <w:rsid w:val="28792217"/>
    <w:rsid w:val="288D5494"/>
    <w:rsid w:val="288F5412"/>
    <w:rsid w:val="2897463C"/>
    <w:rsid w:val="28A546A3"/>
    <w:rsid w:val="28A60C5A"/>
    <w:rsid w:val="28A648E5"/>
    <w:rsid w:val="28AC1A30"/>
    <w:rsid w:val="28D55F39"/>
    <w:rsid w:val="28D64378"/>
    <w:rsid w:val="28D966B4"/>
    <w:rsid w:val="28DA6898"/>
    <w:rsid w:val="28E53AD7"/>
    <w:rsid w:val="28EC1CAC"/>
    <w:rsid w:val="28FC698A"/>
    <w:rsid w:val="290F7198"/>
    <w:rsid w:val="29287A5C"/>
    <w:rsid w:val="2945244D"/>
    <w:rsid w:val="295032E0"/>
    <w:rsid w:val="297478CF"/>
    <w:rsid w:val="297A48D8"/>
    <w:rsid w:val="29822E89"/>
    <w:rsid w:val="298B77A9"/>
    <w:rsid w:val="299578F5"/>
    <w:rsid w:val="299B2468"/>
    <w:rsid w:val="29E4113B"/>
    <w:rsid w:val="29E465D7"/>
    <w:rsid w:val="29E608CD"/>
    <w:rsid w:val="2A05717C"/>
    <w:rsid w:val="2A09318B"/>
    <w:rsid w:val="2A1F527E"/>
    <w:rsid w:val="2A2D2B87"/>
    <w:rsid w:val="2A2D7E94"/>
    <w:rsid w:val="2A342D36"/>
    <w:rsid w:val="2A3502DE"/>
    <w:rsid w:val="2A3E7FD6"/>
    <w:rsid w:val="2A5C2B17"/>
    <w:rsid w:val="2A6B3C0F"/>
    <w:rsid w:val="2A7F7C3E"/>
    <w:rsid w:val="2A965E92"/>
    <w:rsid w:val="2A995B0C"/>
    <w:rsid w:val="2A9C51EE"/>
    <w:rsid w:val="2AB01879"/>
    <w:rsid w:val="2AB42C5A"/>
    <w:rsid w:val="2ACF31E1"/>
    <w:rsid w:val="2AE21266"/>
    <w:rsid w:val="2AEA62F6"/>
    <w:rsid w:val="2AF558BF"/>
    <w:rsid w:val="2AF979AC"/>
    <w:rsid w:val="2AFF64AD"/>
    <w:rsid w:val="2B00027E"/>
    <w:rsid w:val="2B0C0496"/>
    <w:rsid w:val="2B2A5E7D"/>
    <w:rsid w:val="2B4118CF"/>
    <w:rsid w:val="2B4C49F3"/>
    <w:rsid w:val="2B4E00E2"/>
    <w:rsid w:val="2B5135E6"/>
    <w:rsid w:val="2B610B07"/>
    <w:rsid w:val="2B653162"/>
    <w:rsid w:val="2B6849B9"/>
    <w:rsid w:val="2B7B684C"/>
    <w:rsid w:val="2B7C24F1"/>
    <w:rsid w:val="2B9514EA"/>
    <w:rsid w:val="2B9A7387"/>
    <w:rsid w:val="2B9D4F10"/>
    <w:rsid w:val="2B9D6A79"/>
    <w:rsid w:val="2BA07E1B"/>
    <w:rsid w:val="2BA24B0F"/>
    <w:rsid w:val="2BA47FB8"/>
    <w:rsid w:val="2BAB020E"/>
    <w:rsid w:val="2BB0296F"/>
    <w:rsid w:val="2BB1575C"/>
    <w:rsid w:val="2BB5694B"/>
    <w:rsid w:val="2BC00AF6"/>
    <w:rsid w:val="2BC85E4F"/>
    <w:rsid w:val="2BDE5F31"/>
    <w:rsid w:val="2BE112C0"/>
    <w:rsid w:val="2BE5058F"/>
    <w:rsid w:val="2BEC252F"/>
    <w:rsid w:val="2BEC6D88"/>
    <w:rsid w:val="2BF8559E"/>
    <w:rsid w:val="2BFE123C"/>
    <w:rsid w:val="2BFE56E0"/>
    <w:rsid w:val="2C0E1382"/>
    <w:rsid w:val="2C1C44BB"/>
    <w:rsid w:val="2C2856B0"/>
    <w:rsid w:val="2C292AD1"/>
    <w:rsid w:val="2C295973"/>
    <w:rsid w:val="2C2972A4"/>
    <w:rsid w:val="2C331A21"/>
    <w:rsid w:val="2C333732"/>
    <w:rsid w:val="2C423BBC"/>
    <w:rsid w:val="2C53518C"/>
    <w:rsid w:val="2C594D26"/>
    <w:rsid w:val="2C665FCF"/>
    <w:rsid w:val="2C7F25C0"/>
    <w:rsid w:val="2C8B48DC"/>
    <w:rsid w:val="2C99503A"/>
    <w:rsid w:val="2CA11503"/>
    <w:rsid w:val="2CC618F6"/>
    <w:rsid w:val="2CC93B14"/>
    <w:rsid w:val="2CCD226D"/>
    <w:rsid w:val="2CCEC684"/>
    <w:rsid w:val="2CE523D1"/>
    <w:rsid w:val="2CFD0FFF"/>
    <w:rsid w:val="2CFD275D"/>
    <w:rsid w:val="2D2D2CFE"/>
    <w:rsid w:val="2D3D44C1"/>
    <w:rsid w:val="2D5247FD"/>
    <w:rsid w:val="2D5909D4"/>
    <w:rsid w:val="2D621E75"/>
    <w:rsid w:val="2D764A7B"/>
    <w:rsid w:val="2D7A010D"/>
    <w:rsid w:val="2D811D31"/>
    <w:rsid w:val="2D8C366C"/>
    <w:rsid w:val="2D8C39C3"/>
    <w:rsid w:val="2D9C5CDB"/>
    <w:rsid w:val="2DBA0D61"/>
    <w:rsid w:val="2DC6294E"/>
    <w:rsid w:val="2DCD088C"/>
    <w:rsid w:val="2DCDB26A"/>
    <w:rsid w:val="2DD56D0F"/>
    <w:rsid w:val="2DEC0D58"/>
    <w:rsid w:val="2DEE1FC9"/>
    <w:rsid w:val="2DF57940"/>
    <w:rsid w:val="2E002824"/>
    <w:rsid w:val="2E055284"/>
    <w:rsid w:val="2E21265F"/>
    <w:rsid w:val="2E2153C4"/>
    <w:rsid w:val="2E2A2E37"/>
    <w:rsid w:val="2E344A92"/>
    <w:rsid w:val="2E4B6A6D"/>
    <w:rsid w:val="2E5526A4"/>
    <w:rsid w:val="2E74002F"/>
    <w:rsid w:val="2E741E01"/>
    <w:rsid w:val="2E8361C0"/>
    <w:rsid w:val="2E8526E8"/>
    <w:rsid w:val="2E855B2D"/>
    <w:rsid w:val="2E861D9E"/>
    <w:rsid w:val="2E8B1868"/>
    <w:rsid w:val="2E922793"/>
    <w:rsid w:val="2EA54874"/>
    <w:rsid w:val="2EB254E7"/>
    <w:rsid w:val="2EC71F46"/>
    <w:rsid w:val="2ECA71CA"/>
    <w:rsid w:val="2EFE0A55"/>
    <w:rsid w:val="2F01329B"/>
    <w:rsid w:val="2F027864"/>
    <w:rsid w:val="2F1A4AA8"/>
    <w:rsid w:val="2F39300B"/>
    <w:rsid w:val="2F3D50F9"/>
    <w:rsid w:val="2F590B83"/>
    <w:rsid w:val="2F6A40EB"/>
    <w:rsid w:val="2F6A63AC"/>
    <w:rsid w:val="2F877EAA"/>
    <w:rsid w:val="2FB00762"/>
    <w:rsid w:val="2FB41111"/>
    <w:rsid w:val="2FB51295"/>
    <w:rsid w:val="2FBF0E25"/>
    <w:rsid w:val="2FCF3C69"/>
    <w:rsid w:val="2FDB03D3"/>
    <w:rsid w:val="2FE27646"/>
    <w:rsid w:val="2FFB3F0C"/>
    <w:rsid w:val="2FFC308F"/>
    <w:rsid w:val="300700FC"/>
    <w:rsid w:val="300A4CD5"/>
    <w:rsid w:val="303310B0"/>
    <w:rsid w:val="30387DAA"/>
    <w:rsid w:val="303A1614"/>
    <w:rsid w:val="3040243B"/>
    <w:rsid w:val="3053363D"/>
    <w:rsid w:val="305350B4"/>
    <w:rsid w:val="305F3697"/>
    <w:rsid w:val="30665FF5"/>
    <w:rsid w:val="306F7530"/>
    <w:rsid w:val="30715D9B"/>
    <w:rsid w:val="308318EA"/>
    <w:rsid w:val="308902A0"/>
    <w:rsid w:val="309533A2"/>
    <w:rsid w:val="30B61886"/>
    <w:rsid w:val="30BD4070"/>
    <w:rsid w:val="30CB4744"/>
    <w:rsid w:val="30CB7296"/>
    <w:rsid w:val="30D55544"/>
    <w:rsid w:val="30EC708C"/>
    <w:rsid w:val="30ED2780"/>
    <w:rsid w:val="30EF26BD"/>
    <w:rsid w:val="30F16A33"/>
    <w:rsid w:val="31075B7E"/>
    <w:rsid w:val="310B7A9E"/>
    <w:rsid w:val="310BBEF6"/>
    <w:rsid w:val="31100132"/>
    <w:rsid w:val="31106311"/>
    <w:rsid w:val="3112147D"/>
    <w:rsid w:val="311332BE"/>
    <w:rsid w:val="311A0F3B"/>
    <w:rsid w:val="31264B51"/>
    <w:rsid w:val="31290460"/>
    <w:rsid w:val="312E217B"/>
    <w:rsid w:val="3145461A"/>
    <w:rsid w:val="314A0492"/>
    <w:rsid w:val="315232FD"/>
    <w:rsid w:val="31613056"/>
    <w:rsid w:val="316204D1"/>
    <w:rsid w:val="316616A5"/>
    <w:rsid w:val="31697C26"/>
    <w:rsid w:val="316B1CB8"/>
    <w:rsid w:val="316D27E1"/>
    <w:rsid w:val="31812029"/>
    <w:rsid w:val="31833D68"/>
    <w:rsid w:val="318B6F97"/>
    <w:rsid w:val="31A26BE6"/>
    <w:rsid w:val="31BE5755"/>
    <w:rsid w:val="31D318AB"/>
    <w:rsid w:val="31D66ACA"/>
    <w:rsid w:val="31DC4F52"/>
    <w:rsid w:val="31E14AC4"/>
    <w:rsid w:val="31E5386C"/>
    <w:rsid w:val="321C2654"/>
    <w:rsid w:val="321E4A68"/>
    <w:rsid w:val="3226050F"/>
    <w:rsid w:val="32272FB2"/>
    <w:rsid w:val="322D6D0C"/>
    <w:rsid w:val="32342111"/>
    <w:rsid w:val="323F30D3"/>
    <w:rsid w:val="32422DD5"/>
    <w:rsid w:val="32451473"/>
    <w:rsid w:val="32462EDA"/>
    <w:rsid w:val="32631021"/>
    <w:rsid w:val="327100C8"/>
    <w:rsid w:val="32717916"/>
    <w:rsid w:val="329245AF"/>
    <w:rsid w:val="329D2413"/>
    <w:rsid w:val="32A3117A"/>
    <w:rsid w:val="32AA33AB"/>
    <w:rsid w:val="32B04656"/>
    <w:rsid w:val="32B41CCF"/>
    <w:rsid w:val="32B55600"/>
    <w:rsid w:val="32CB8716"/>
    <w:rsid w:val="32CC522B"/>
    <w:rsid w:val="32E266D2"/>
    <w:rsid w:val="32F14468"/>
    <w:rsid w:val="33017268"/>
    <w:rsid w:val="33062397"/>
    <w:rsid w:val="332A5E90"/>
    <w:rsid w:val="334A57DB"/>
    <w:rsid w:val="33523A77"/>
    <w:rsid w:val="3360674A"/>
    <w:rsid w:val="337374C2"/>
    <w:rsid w:val="33771006"/>
    <w:rsid w:val="337E1488"/>
    <w:rsid w:val="33957F75"/>
    <w:rsid w:val="339A4ED8"/>
    <w:rsid w:val="33C71103"/>
    <w:rsid w:val="33D04718"/>
    <w:rsid w:val="33E1207E"/>
    <w:rsid w:val="33E61874"/>
    <w:rsid w:val="33F50829"/>
    <w:rsid w:val="34051CF3"/>
    <w:rsid w:val="34225240"/>
    <w:rsid w:val="343539FE"/>
    <w:rsid w:val="34372DF3"/>
    <w:rsid w:val="34391925"/>
    <w:rsid w:val="344A4281"/>
    <w:rsid w:val="34567A75"/>
    <w:rsid w:val="34715A73"/>
    <w:rsid w:val="349122DA"/>
    <w:rsid w:val="34A859FD"/>
    <w:rsid w:val="34AE59EA"/>
    <w:rsid w:val="34BC1492"/>
    <w:rsid w:val="34BD69E3"/>
    <w:rsid w:val="34BE1AD0"/>
    <w:rsid w:val="34D47992"/>
    <w:rsid w:val="34D54168"/>
    <w:rsid w:val="34D84C5A"/>
    <w:rsid w:val="34DAB31E"/>
    <w:rsid w:val="34FC6866"/>
    <w:rsid w:val="35036EA3"/>
    <w:rsid w:val="351B30AD"/>
    <w:rsid w:val="35217988"/>
    <w:rsid w:val="352C63B3"/>
    <w:rsid w:val="352E5395"/>
    <w:rsid w:val="3536785A"/>
    <w:rsid w:val="354E0FAE"/>
    <w:rsid w:val="355C5AE0"/>
    <w:rsid w:val="355E5C58"/>
    <w:rsid w:val="35618022"/>
    <w:rsid w:val="35630616"/>
    <w:rsid w:val="356939A6"/>
    <w:rsid w:val="357324C8"/>
    <w:rsid w:val="358E30C9"/>
    <w:rsid w:val="35AA6F89"/>
    <w:rsid w:val="35CA164F"/>
    <w:rsid w:val="35DB5926"/>
    <w:rsid w:val="35E02F96"/>
    <w:rsid w:val="35F26C1F"/>
    <w:rsid w:val="36056085"/>
    <w:rsid w:val="3613204D"/>
    <w:rsid w:val="361724FC"/>
    <w:rsid w:val="36177B49"/>
    <w:rsid w:val="361A3EC1"/>
    <w:rsid w:val="361B68C9"/>
    <w:rsid w:val="361D64B2"/>
    <w:rsid w:val="362C10C4"/>
    <w:rsid w:val="363911CC"/>
    <w:rsid w:val="364458D7"/>
    <w:rsid w:val="364A2BB3"/>
    <w:rsid w:val="364B7997"/>
    <w:rsid w:val="3656736B"/>
    <w:rsid w:val="36700F68"/>
    <w:rsid w:val="3675115F"/>
    <w:rsid w:val="368C4BC3"/>
    <w:rsid w:val="36B84640"/>
    <w:rsid w:val="36BE5949"/>
    <w:rsid w:val="36CA11F2"/>
    <w:rsid w:val="36D953B9"/>
    <w:rsid w:val="36ED36D9"/>
    <w:rsid w:val="36F26E7E"/>
    <w:rsid w:val="370E3EDF"/>
    <w:rsid w:val="37186485"/>
    <w:rsid w:val="37225F10"/>
    <w:rsid w:val="37382EF1"/>
    <w:rsid w:val="37445632"/>
    <w:rsid w:val="37463A61"/>
    <w:rsid w:val="374E0EEE"/>
    <w:rsid w:val="374F0676"/>
    <w:rsid w:val="375E7589"/>
    <w:rsid w:val="37603D60"/>
    <w:rsid w:val="376B5DB9"/>
    <w:rsid w:val="377B033B"/>
    <w:rsid w:val="379579C1"/>
    <w:rsid w:val="379D28FC"/>
    <w:rsid w:val="37AA6279"/>
    <w:rsid w:val="37AF0653"/>
    <w:rsid w:val="37B51902"/>
    <w:rsid w:val="37CF3DE6"/>
    <w:rsid w:val="37D7521A"/>
    <w:rsid w:val="37F71D4F"/>
    <w:rsid w:val="37FFC474"/>
    <w:rsid w:val="381731A0"/>
    <w:rsid w:val="38184DF5"/>
    <w:rsid w:val="381A48FB"/>
    <w:rsid w:val="3826042B"/>
    <w:rsid w:val="38346D0E"/>
    <w:rsid w:val="38580025"/>
    <w:rsid w:val="3867249B"/>
    <w:rsid w:val="38735EC3"/>
    <w:rsid w:val="387B7624"/>
    <w:rsid w:val="389A280A"/>
    <w:rsid w:val="38A3746F"/>
    <w:rsid w:val="38BD1C73"/>
    <w:rsid w:val="38CF105F"/>
    <w:rsid w:val="38D05942"/>
    <w:rsid w:val="38D4375D"/>
    <w:rsid w:val="38D94D1F"/>
    <w:rsid w:val="38E968F5"/>
    <w:rsid w:val="38F27951"/>
    <w:rsid w:val="38FE1FDA"/>
    <w:rsid w:val="391C7B1C"/>
    <w:rsid w:val="391D2F58"/>
    <w:rsid w:val="39355993"/>
    <w:rsid w:val="393973A5"/>
    <w:rsid w:val="39556A11"/>
    <w:rsid w:val="395BF430"/>
    <w:rsid w:val="395E7095"/>
    <w:rsid w:val="39606E5C"/>
    <w:rsid w:val="39662F47"/>
    <w:rsid w:val="39704B35"/>
    <w:rsid w:val="399F6234"/>
    <w:rsid w:val="39A40F69"/>
    <w:rsid w:val="39A83DAE"/>
    <w:rsid w:val="39B07F70"/>
    <w:rsid w:val="39CF05D0"/>
    <w:rsid w:val="39EA4E5E"/>
    <w:rsid w:val="39EA7BD9"/>
    <w:rsid w:val="39EB03E7"/>
    <w:rsid w:val="39F449B1"/>
    <w:rsid w:val="39FA32BA"/>
    <w:rsid w:val="3A1E2AFC"/>
    <w:rsid w:val="3A351D11"/>
    <w:rsid w:val="3A4E24B5"/>
    <w:rsid w:val="3A676962"/>
    <w:rsid w:val="3A7F363D"/>
    <w:rsid w:val="3A9248CD"/>
    <w:rsid w:val="3A9E3332"/>
    <w:rsid w:val="3AA02C3B"/>
    <w:rsid w:val="3AB74D6A"/>
    <w:rsid w:val="3AC21842"/>
    <w:rsid w:val="3AC25B84"/>
    <w:rsid w:val="3ACE328E"/>
    <w:rsid w:val="3AF16E3E"/>
    <w:rsid w:val="3AF67C1F"/>
    <w:rsid w:val="3B0D70AF"/>
    <w:rsid w:val="3B0D74FC"/>
    <w:rsid w:val="3B1D4DF5"/>
    <w:rsid w:val="3B2B03E6"/>
    <w:rsid w:val="3B344940"/>
    <w:rsid w:val="3B5024E7"/>
    <w:rsid w:val="3B5A02B1"/>
    <w:rsid w:val="3B5E1F28"/>
    <w:rsid w:val="3B7A3D67"/>
    <w:rsid w:val="3B9DD114"/>
    <w:rsid w:val="3BBE54A4"/>
    <w:rsid w:val="3BBF7E59"/>
    <w:rsid w:val="3BC72752"/>
    <w:rsid w:val="3BD62123"/>
    <w:rsid w:val="3BE71373"/>
    <w:rsid w:val="3C084CCB"/>
    <w:rsid w:val="3C0F583E"/>
    <w:rsid w:val="3C2C1E7C"/>
    <w:rsid w:val="3C38135F"/>
    <w:rsid w:val="3C504513"/>
    <w:rsid w:val="3C60363B"/>
    <w:rsid w:val="3C7428BC"/>
    <w:rsid w:val="3C904053"/>
    <w:rsid w:val="3C9403B1"/>
    <w:rsid w:val="3CA27656"/>
    <w:rsid w:val="3CA43A4B"/>
    <w:rsid w:val="3CB03328"/>
    <w:rsid w:val="3CBE53B5"/>
    <w:rsid w:val="3CC06044"/>
    <w:rsid w:val="3CC344BF"/>
    <w:rsid w:val="3CC534E7"/>
    <w:rsid w:val="3CDE0E45"/>
    <w:rsid w:val="3CE20393"/>
    <w:rsid w:val="3CED2D33"/>
    <w:rsid w:val="3CF00F09"/>
    <w:rsid w:val="3CF801F8"/>
    <w:rsid w:val="3D056E99"/>
    <w:rsid w:val="3D083693"/>
    <w:rsid w:val="3D2008B6"/>
    <w:rsid w:val="3D255522"/>
    <w:rsid w:val="3D61433B"/>
    <w:rsid w:val="3D737411"/>
    <w:rsid w:val="3D836275"/>
    <w:rsid w:val="3D8C66B5"/>
    <w:rsid w:val="3D927FA6"/>
    <w:rsid w:val="3D92F3A5"/>
    <w:rsid w:val="3D9D24B9"/>
    <w:rsid w:val="3DA9064D"/>
    <w:rsid w:val="3DB60D06"/>
    <w:rsid w:val="3DBB7B8B"/>
    <w:rsid w:val="3DBF0BE7"/>
    <w:rsid w:val="3DC05567"/>
    <w:rsid w:val="3DC9306C"/>
    <w:rsid w:val="3DD20AB5"/>
    <w:rsid w:val="3DD900EA"/>
    <w:rsid w:val="3DDDB325"/>
    <w:rsid w:val="3DDF4498"/>
    <w:rsid w:val="3DE75CAE"/>
    <w:rsid w:val="3DE97F84"/>
    <w:rsid w:val="3DEC0486"/>
    <w:rsid w:val="3DF35E06"/>
    <w:rsid w:val="3DF80EEB"/>
    <w:rsid w:val="3E022BA6"/>
    <w:rsid w:val="3E1708E6"/>
    <w:rsid w:val="3E2339D2"/>
    <w:rsid w:val="3E325C85"/>
    <w:rsid w:val="3E3A261F"/>
    <w:rsid w:val="3E7C1E50"/>
    <w:rsid w:val="3E811915"/>
    <w:rsid w:val="3E971ABF"/>
    <w:rsid w:val="3EBA6C7B"/>
    <w:rsid w:val="3ECD0FAA"/>
    <w:rsid w:val="3ED6001E"/>
    <w:rsid w:val="3EEF5195"/>
    <w:rsid w:val="3EF343B4"/>
    <w:rsid w:val="3EF35EF3"/>
    <w:rsid w:val="3EFD2CBF"/>
    <w:rsid w:val="3F091862"/>
    <w:rsid w:val="3F1E2374"/>
    <w:rsid w:val="3F200159"/>
    <w:rsid w:val="3F266648"/>
    <w:rsid w:val="3F553B2E"/>
    <w:rsid w:val="3F5A22CC"/>
    <w:rsid w:val="3F684F93"/>
    <w:rsid w:val="3F6A3F7D"/>
    <w:rsid w:val="3F9639DF"/>
    <w:rsid w:val="3FA162D8"/>
    <w:rsid w:val="3FB2035A"/>
    <w:rsid w:val="3FB2107F"/>
    <w:rsid w:val="3FD71B56"/>
    <w:rsid w:val="3FEC5F17"/>
    <w:rsid w:val="3FF96405"/>
    <w:rsid w:val="40011C8E"/>
    <w:rsid w:val="400224F5"/>
    <w:rsid w:val="400D49BD"/>
    <w:rsid w:val="401626CB"/>
    <w:rsid w:val="401E5DC0"/>
    <w:rsid w:val="402E1A51"/>
    <w:rsid w:val="403326AF"/>
    <w:rsid w:val="403D025F"/>
    <w:rsid w:val="4044295A"/>
    <w:rsid w:val="405544D7"/>
    <w:rsid w:val="40571A24"/>
    <w:rsid w:val="405C47F0"/>
    <w:rsid w:val="4065A385"/>
    <w:rsid w:val="407A49A2"/>
    <w:rsid w:val="4085BAB1"/>
    <w:rsid w:val="40883C2E"/>
    <w:rsid w:val="40AF53AA"/>
    <w:rsid w:val="40B66108"/>
    <w:rsid w:val="40BBC086"/>
    <w:rsid w:val="40C77935"/>
    <w:rsid w:val="40CD25BA"/>
    <w:rsid w:val="40D850B8"/>
    <w:rsid w:val="40E44CFF"/>
    <w:rsid w:val="40EF2ACF"/>
    <w:rsid w:val="411F2986"/>
    <w:rsid w:val="41312081"/>
    <w:rsid w:val="41495296"/>
    <w:rsid w:val="41525192"/>
    <w:rsid w:val="415B2FAE"/>
    <w:rsid w:val="4165535C"/>
    <w:rsid w:val="41754B38"/>
    <w:rsid w:val="41855D35"/>
    <w:rsid w:val="41943D1A"/>
    <w:rsid w:val="41A62AEA"/>
    <w:rsid w:val="41AC7F04"/>
    <w:rsid w:val="41AD4BC6"/>
    <w:rsid w:val="41C40AF0"/>
    <w:rsid w:val="41E32CB1"/>
    <w:rsid w:val="41F06F49"/>
    <w:rsid w:val="420D51F4"/>
    <w:rsid w:val="422522D7"/>
    <w:rsid w:val="42374EA4"/>
    <w:rsid w:val="424F4F69"/>
    <w:rsid w:val="4261216F"/>
    <w:rsid w:val="427626F8"/>
    <w:rsid w:val="4281150A"/>
    <w:rsid w:val="42814701"/>
    <w:rsid w:val="429A53B1"/>
    <w:rsid w:val="42B110EA"/>
    <w:rsid w:val="42B728B0"/>
    <w:rsid w:val="42C41626"/>
    <w:rsid w:val="42F657C8"/>
    <w:rsid w:val="43014BF1"/>
    <w:rsid w:val="430415C1"/>
    <w:rsid w:val="43050F78"/>
    <w:rsid w:val="43112946"/>
    <w:rsid w:val="431C76D3"/>
    <w:rsid w:val="432E1EE4"/>
    <w:rsid w:val="432F6F48"/>
    <w:rsid w:val="43364969"/>
    <w:rsid w:val="4342E303"/>
    <w:rsid w:val="434D1D3A"/>
    <w:rsid w:val="43686B13"/>
    <w:rsid w:val="436A6B01"/>
    <w:rsid w:val="436F6E9B"/>
    <w:rsid w:val="43773AF7"/>
    <w:rsid w:val="43808371"/>
    <w:rsid w:val="438A5FBF"/>
    <w:rsid w:val="43DA5AE1"/>
    <w:rsid w:val="43DE1585"/>
    <w:rsid w:val="43EA5E91"/>
    <w:rsid w:val="43FA5E2A"/>
    <w:rsid w:val="44006634"/>
    <w:rsid w:val="440C4FFC"/>
    <w:rsid w:val="44437D45"/>
    <w:rsid w:val="44466672"/>
    <w:rsid w:val="44476F16"/>
    <w:rsid w:val="445124C4"/>
    <w:rsid w:val="44514FDC"/>
    <w:rsid w:val="445E1025"/>
    <w:rsid w:val="445F6465"/>
    <w:rsid w:val="44600A2D"/>
    <w:rsid w:val="447D1056"/>
    <w:rsid w:val="448A15C0"/>
    <w:rsid w:val="44A66D3B"/>
    <w:rsid w:val="44B17207"/>
    <w:rsid w:val="44B47FD1"/>
    <w:rsid w:val="44BA0B7C"/>
    <w:rsid w:val="44CD1329"/>
    <w:rsid w:val="44E83BDE"/>
    <w:rsid w:val="44F57210"/>
    <w:rsid w:val="44F95F7A"/>
    <w:rsid w:val="44FE3CC0"/>
    <w:rsid w:val="45005C2E"/>
    <w:rsid w:val="45023CB8"/>
    <w:rsid w:val="45074598"/>
    <w:rsid w:val="45087E09"/>
    <w:rsid w:val="45145027"/>
    <w:rsid w:val="451C2036"/>
    <w:rsid w:val="45234356"/>
    <w:rsid w:val="45255DB7"/>
    <w:rsid w:val="4527349C"/>
    <w:rsid w:val="452B2C18"/>
    <w:rsid w:val="452E24E1"/>
    <w:rsid w:val="453F24DC"/>
    <w:rsid w:val="455A2F93"/>
    <w:rsid w:val="45692528"/>
    <w:rsid w:val="459B0635"/>
    <w:rsid w:val="45A24BAE"/>
    <w:rsid w:val="45C05523"/>
    <w:rsid w:val="45C74FBF"/>
    <w:rsid w:val="462E41E5"/>
    <w:rsid w:val="4651615F"/>
    <w:rsid w:val="4657063E"/>
    <w:rsid w:val="46617A29"/>
    <w:rsid w:val="46696FE9"/>
    <w:rsid w:val="466E0D0E"/>
    <w:rsid w:val="467E36F0"/>
    <w:rsid w:val="46824AA0"/>
    <w:rsid w:val="469A222C"/>
    <w:rsid w:val="469E7CBC"/>
    <w:rsid w:val="46A02C61"/>
    <w:rsid w:val="46A14E14"/>
    <w:rsid w:val="46E2123D"/>
    <w:rsid w:val="46E65BE0"/>
    <w:rsid w:val="47026259"/>
    <w:rsid w:val="47030681"/>
    <w:rsid w:val="470311E2"/>
    <w:rsid w:val="47175552"/>
    <w:rsid w:val="471F7B3D"/>
    <w:rsid w:val="473A0B8B"/>
    <w:rsid w:val="4741042E"/>
    <w:rsid w:val="474761F1"/>
    <w:rsid w:val="474BE639"/>
    <w:rsid w:val="475B76F3"/>
    <w:rsid w:val="476F0083"/>
    <w:rsid w:val="47767F2A"/>
    <w:rsid w:val="479B38ED"/>
    <w:rsid w:val="47C410F3"/>
    <w:rsid w:val="47DA14CA"/>
    <w:rsid w:val="47E2BC66"/>
    <w:rsid w:val="47F77833"/>
    <w:rsid w:val="48084B6B"/>
    <w:rsid w:val="482C32DB"/>
    <w:rsid w:val="48391754"/>
    <w:rsid w:val="484B0499"/>
    <w:rsid w:val="486C0F9D"/>
    <w:rsid w:val="487D7D31"/>
    <w:rsid w:val="4881382C"/>
    <w:rsid w:val="48853B29"/>
    <w:rsid w:val="4895141C"/>
    <w:rsid w:val="48BB77C1"/>
    <w:rsid w:val="48BC5E5C"/>
    <w:rsid w:val="48D35156"/>
    <w:rsid w:val="48D716C6"/>
    <w:rsid w:val="48D94BD0"/>
    <w:rsid w:val="48E005A5"/>
    <w:rsid w:val="48F15D3B"/>
    <w:rsid w:val="490634CC"/>
    <w:rsid w:val="490C48A6"/>
    <w:rsid w:val="492246FE"/>
    <w:rsid w:val="493036BD"/>
    <w:rsid w:val="49310904"/>
    <w:rsid w:val="49551FA8"/>
    <w:rsid w:val="495F0883"/>
    <w:rsid w:val="496C0995"/>
    <w:rsid w:val="49740890"/>
    <w:rsid w:val="497C38A9"/>
    <w:rsid w:val="49854C00"/>
    <w:rsid w:val="49861EA4"/>
    <w:rsid w:val="49A6206C"/>
    <w:rsid w:val="49B669E8"/>
    <w:rsid w:val="49D2650D"/>
    <w:rsid w:val="4A1203C2"/>
    <w:rsid w:val="4A1C7E4E"/>
    <w:rsid w:val="4A214658"/>
    <w:rsid w:val="4A2D63C1"/>
    <w:rsid w:val="4A47648C"/>
    <w:rsid w:val="4A4C2A75"/>
    <w:rsid w:val="4A516150"/>
    <w:rsid w:val="4A5353D5"/>
    <w:rsid w:val="4A635F14"/>
    <w:rsid w:val="4A684F1F"/>
    <w:rsid w:val="4A7F1EF7"/>
    <w:rsid w:val="4A9D68BC"/>
    <w:rsid w:val="4AAA277F"/>
    <w:rsid w:val="4AB22332"/>
    <w:rsid w:val="4AC53794"/>
    <w:rsid w:val="4ACE7C1B"/>
    <w:rsid w:val="4ADB2658"/>
    <w:rsid w:val="4ADC624C"/>
    <w:rsid w:val="4AE032AD"/>
    <w:rsid w:val="4AE534BC"/>
    <w:rsid w:val="4AE7301B"/>
    <w:rsid w:val="4AFF1670"/>
    <w:rsid w:val="4B0548B2"/>
    <w:rsid w:val="4B160752"/>
    <w:rsid w:val="4B1E7817"/>
    <w:rsid w:val="4B2263DB"/>
    <w:rsid w:val="4B275E44"/>
    <w:rsid w:val="4B3A5D61"/>
    <w:rsid w:val="4B763E12"/>
    <w:rsid w:val="4B8F4CAA"/>
    <w:rsid w:val="4B957B98"/>
    <w:rsid w:val="4B9E0F9D"/>
    <w:rsid w:val="4BB16A2F"/>
    <w:rsid w:val="4BC20D04"/>
    <w:rsid w:val="4BC53BED"/>
    <w:rsid w:val="4BC855E9"/>
    <w:rsid w:val="4BF24735"/>
    <w:rsid w:val="4C017EA5"/>
    <w:rsid w:val="4C115626"/>
    <w:rsid w:val="4C3424F0"/>
    <w:rsid w:val="4C384433"/>
    <w:rsid w:val="4C3969A6"/>
    <w:rsid w:val="4C3B3379"/>
    <w:rsid w:val="4C3D1614"/>
    <w:rsid w:val="4C4D2934"/>
    <w:rsid w:val="4C4F6E33"/>
    <w:rsid w:val="4C6D770D"/>
    <w:rsid w:val="4C723E35"/>
    <w:rsid w:val="4C7A69BB"/>
    <w:rsid w:val="4C962338"/>
    <w:rsid w:val="4C9E5D34"/>
    <w:rsid w:val="4CA425A1"/>
    <w:rsid w:val="4CA82CC4"/>
    <w:rsid w:val="4CA91F97"/>
    <w:rsid w:val="4CC36B2C"/>
    <w:rsid w:val="4CC750A8"/>
    <w:rsid w:val="4CCB0C87"/>
    <w:rsid w:val="4CCC73A1"/>
    <w:rsid w:val="4CED4C9B"/>
    <w:rsid w:val="4CFB7639"/>
    <w:rsid w:val="4D376348"/>
    <w:rsid w:val="4D3B6016"/>
    <w:rsid w:val="4D627694"/>
    <w:rsid w:val="4D6C1E8D"/>
    <w:rsid w:val="4D77AE12"/>
    <w:rsid w:val="4D9007E4"/>
    <w:rsid w:val="4D987338"/>
    <w:rsid w:val="4D9B20DC"/>
    <w:rsid w:val="4DA07D77"/>
    <w:rsid w:val="4DA92D07"/>
    <w:rsid w:val="4DAC58ED"/>
    <w:rsid w:val="4DB55A91"/>
    <w:rsid w:val="4DBC6EF1"/>
    <w:rsid w:val="4DBF1A7D"/>
    <w:rsid w:val="4DC9356B"/>
    <w:rsid w:val="4DDF151E"/>
    <w:rsid w:val="4DE75082"/>
    <w:rsid w:val="4DE81DFF"/>
    <w:rsid w:val="4DF104CB"/>
    <w:rsid w:val="4E0627DE"/>
    <w:rsid w:val="4E1133E2"/>
    <w:rsid w:val="4E1D58D9"/>
    <w:rsid w:val="4E291960"/>
    <w:rsid w:val="4E335D30"/>
    <w:rsid w:val="4E4231DB"/>
    <w:rsid w:val="4E4C7DF7"/>
    <w:rsid w:val="4E56794A"/>
    <w:rsid w:val="4E784DA5"/>
    <w:rsid w:val="4E7F50BD"/>
    <w:rsid w:val="4E8059CB"/>
    <w:rsid w:val="4E853A7E"/>
    <w:rsid w:val="4E9E6CE8"/>
    <w:rsid w:val="4EA41EE6"/>
    <w:rsid w:val="4EAE4E67"/>
    <w:rsid w:val="4EAE5496"/>
    <w:rsid w:val="4EBB794E"/>
    <w:rsid w:val="4EBC5487"/>
    <w:rsid w:val="4EC182EA"/>
    <w:rsid w:val="4EC76DE4"/>
    <w:rsid w:val="4ED23CDF"/>
    <w:rsid w:val="4EDF6751"/>
    <w:rsid w:val="4EF74854"/>
    <w:rsid w:val="4EFA2C78"/>
    <w:rsid w:val="4F3A6546"/>
    <w:rsid w:val="4F495E5C"/>
    <w:rsid w:val="4F497719"/>
    <w:rsid w:val="4F586B0D"/>
    <w:rsid w:val="4F5B6D80"/>
    <w:rsid w:val="4F5C515F"/>
    <w:rsid w:val="4F7948DF"/>
    <w:rsid w:val="4F8406DB"/>
    <w:rsid w:val="4F896906"/>
    <w:rsid w:val="4F8E2A99"/>
    <w:rsid w:val="4F930FA5"/>
    <w:rsid w:val="4F964B40"/>
    <w:rsid w:val="4FB3101B"/>
    <w:rsid w:val="50016431"/>
    <w:rsid w:val="50034479"/>
    <w:rsid w:val="50040E51"/>
    <w:rsid w:val="5008197F"/>
    <w:rsid w:val="500A6978"/>
    <w:rsid w:val="501A1602"/>
    <w:rsid w:val="5044776D"/>
    <w:rsid w:val="504B7F1D"/>
    <w:rsid w:val="50560708"/>
    <w:rsid w:val="50604F80"/>
    <w:rsid w:val="50792AA9"/>
    <w:rsid w:val="50864D53"/>
    <w:rsid w:val="50956CAF"/>
    <w:rsid w:val="509617EA"/>
    <w:rsid w:val="50A2240F"/>
    <w:rsid w:val="50A651C3"/>
    <w:rsid w:val="50C17FB3"/>
    <w:rsid w:val="50C66F88"/>
    <w:rsid w:val="50D22910"/>
    <w:rsid w:val="50D47C32"/>
    <w:rsid w:val="50E1049D"/>
    <w:rsid w:val="50EE26B9"/>
    <w:rsid w:val="5104015C"/>
    <w:rsid w:val="511B3721"/>
    <w:rsid w:val="511C65F1"/>
    <w:rsid w:val="5144297B"/>
    <w:rsid w:val="51562AD9"/>
    <w:rsid w:val="51587931"/>
    <w:rsid w:val="515B6750"/>
    <w:rsid w:val="517851CD"/>
    <w:rsid w:val="518D4F98"/>
    <w:rsid w:val="519A6D6A"/>
    <w:rsid w:val="51AE7FC4"/>
    <w:rsid w:val="51C25640"/>
    <w:rsid w:val="51D33967"/>
    <w:rsid w:val="51D71E54"/>
    <w:rsid w:val="51DC7BB0"/>
    <w:rsid w:val="51E048F5"/>
    <w:rsid w:val="51E2722C"/>
    <w:rsid w:val="51F148F4"/>
    <w:rsid w:val="520B03A8"/>
    <w:rsid w:val="52112384"/>
    <w:rsid w:val="522B497B"/>
    <w:rsid w:val="52361E2D"/>
    <w:rsid w:val="52423F66"/>
    <w:rsid w:val="524B437C"/>
    <w:rsid w:val="525D5CAE"/>
    <w:rsid w:val="52973ABE"/>
    <w:rsid w:val="52985A1A"/>
    <w:rsid w:val="52A03881"/>
    <w:rsid w:val="52B20F34"/>
    <w:rsid w:val="52CD0F5A"/>
    <w:rsid w:val="52ED150F"/>
    <w:rsid w:val="52EE45D1"/>
    <w:rsid w:val="530227FA"/>
    <w:rsid w:val="5304185C"/>
    <w:rsid w:val="53106016"/>
    <w:rsid w:val="531158BF"/>
    <w:rsid w:val="53133545"/>
    <w:rsid w:val="53146CD3"/>
    <w:rsid w:val="531B1989"/>
    <w:rsid w:val="531E1D3E"/>
    <w:rsid w:val="533D1CDB"/>
    <w:rsid w:val="534147ED"/>
    <w:rsid w:val="534A3A94"/>
    <w:rsid w:val="5385101B"/>
    <w:rsid w:val="538C6553"/>
    <w:rsid w:val="53982853"/>
    <w:rsid w:val="53CA7F9E"/>
    <w:rsid w:val="53E95FB9"/>
    <w:rsid w:val="53EE1FA8"/>
    <w:rsid w:val="54051088"/>
    <w:rsid w:val="540906E5"/>
    <w:rsid w:val="540E64B8"/>
    <w:rsid w:val="541707C3"/>
    <w:rsid w:val="542F7ACD"/>
    <w:rsid w:val="5436049A"/>
    <w:rsid w:val="543A4106"/>
    <w:rsid w:val="54423054"/>
    <w:rsid w:val="54532B9A"/>
    <w:rsid w:val="5483229B"/>
    <w:rsid w:val="548646FD"/>
    <w:rsid w:val="5487699E"/>
    <w:rsid w:val="549E5E06"/>
    <w:rsid w:val="54A0693D"/>
    <w:rsid w:val="54A50FD2"/>
    <w:rsid w:val="54A757A9"/>
    <w:rsid w:val="54C5224D"/>
    <w:rsid w:val="54DC05D4"/>
    <w:rsid w:val="54DF0CD2"/>
    <w:rsid w:val="550C3A9A"/>
    <w:rsid w:val="551E06D9"/>
    <w:rsid w:val="5529353D"/>
    <w:rsid w:val="5539167A"/>
    <w:rsid w:val="554271C4"/>
    <w:rsid w:val="55501603"/>
    <w:rsid w:val="55564012"/>
    <w:rsid w:val="55811F5E"/>
    <w:rsid w:val="55977C08"/>
    <w:rsid w:val="559A3EC5"/>
    <w:rsid w:val="55E35846"/>
    <w:rsid w:val="55FF0D87"/>
    <w:rsid w:val="560E3EB6"/>
    <w:rsid w:val="56283020"/>
    <w:rsid w:val="562842CA"/>
    <w:rsid w:val="565233A1"/>
    <w:rsid w:val="5654B607"/>
    <w:rsid w:val="565F76AE"/>
    <w:rsid w:val="567B3DF9"/>
    <w:rsid w:val="568620CF"/>
    <w:rsid w:val="5693611A"/>
    <w:rsid w:val="56980AF0"/>
    <w:rsid w:val="569A62A5"/>
    <w:rsid w:val="56AA1394"/>
    <w:rsid w:val="56B148E2"/>
    <w:rsid w:val="56B6080E"/>
    <w:rsid w:val="56CB2398"/>
    <w:rsid w:val="56E46F3A"/>
    <w:rsid w:val="56EF78AF"/>
    <w:rsid w:val="570A52C2"/>
    <w:rsid w:val="570F2993"/>
    <w:rsid w:val="57276389"/>
    <w:rsid w:val="57365466"/>
    <w:rsid w:val="574706C1"/>
    <w:rsid w:val="574F1D8B"/>
    <w:rsid w:val="5750629D"/>
    <w:rsid w:val="575C7538"/>
    <w:rsid w:val="57630831"/>
    <w:rsid w:val="577BC618"/>
    <w:rsid w:val="577E4160"/>
    <w:rsid w:val="578F113E"/>
    <w:rsid w:val="57942FD1"/>
    <w:rsid w:val="57A13C48"/>
    <w:rsid w:val="57A63F25"/>
    <w:rsid w:val="57BC7D4B"/>
    <w:rsid w:val="57D83849"/>
    <w:rsid w:val="57DD152D"/>
    <w:rsid w:val="57E14114"/>
    <w:rsid w:val="57EE5248"/>
    <w:rsid w:val="57F12DD9"/>
    <w:rsid w:val="581E65E7"/>
    <w:rsid w:val="582707C1"/>
    <w:rsid w:val="582B076D"/>
    <w:rsid w:val="582E57DE"/>
    <w:rsid w:val="583724F1"/>
    <w:rsid w:val="58575DB7"/>
    <w:rsid w:val="585830DB"/>
    <w:rsid w:val="585B79B2"/>
    <w:rsid w:val="58792282"/>
    <w:rsid w:val="588A76C1"/>
    <w:rsid w:val="588C5522"/>
    <w:rsid w:val="588D5626"/>
    <w:rsid w:val="58B314BD"/>
    <w:rsid w:val="58B40F99"/>
    <w:rsid w:val="58B50597"/>
    <w:rsid w:val="58B53AAF"/>
    <w:rsid w:val="58C70B7F"/>
    <w:rsid w:val="58CC3321"/>
    <w:rsid w:val="58D325F0"/>
    <w:rsid w:val="58D81464"/>
    <w:rsid w:val="58E41241"/>
    <w:rsid w:val="58E41FD3"/>
    <w:rsid w:val="58ED7BDB"/>
    <w:rsid w:val="58F206FA"/>
    <w:rsid w:val="59026B75"/>
    <w:rsid w:val="590F40E1"/>
    <w:rsid w:val="59116678"/>
    <w:rsid w:val="5918745E"/>
    <w:rsid w:val="592678C0"/>
    <w:rsid w:val="594C31BB"/>
    <w:rsid w:val="59664161"/>
    <w:rsid w:val="596677AB"/>
    <w:rsid w:val="59685784"/>
    <w:rsid w:val="59723A5C"/>
    <w:rsid w:val="597F083D"/>
    <w:rsid w:val="598220BE"/>
    <w:rsid w:val="59942E21"/>
    <w:rsid w:val="59991FD5"/>
    <w:rsid w:val="599B0EE3"/>
    <w:rsid w:val="59A163F7"/>
    <w:rsid w:val="59A368FE"/>
    <w:rsid w:val="59B24942"/>
    <w:rsid w:val="59E15713"/>
    <w:rsid w:val="59E226E2"/>
    <w:rsid w:val="59E25D80"/>
    <w:rsid w:val="59ED1DFE"/>
    <w:rsid w:val="59F556E3"/>
    <w:rsid w:val="59FF21B0"/>
    <w:rsid w:val="5A022A8A"/>
    <w:rsid w:val="5A046654"/>
    <w:rsid w:val="5A1E2EDC"/>
    <w:rsid w:val="5A33470E"/>
    <w:rsid w:val="5A372914"/>
    <w:rsid w:val="5A4E3FC9"/>
    <w:rsid w:val="5A4F119C"/>
    <w:rsid w:val="5A7F4C42"/>
    <w:rsid w:val="5A894A68"/>
    <w:rsid w:val="5A9A0471"/>
    <w:rsid w:val="5A9C385A"/>
    <w:rsid w:val="5ABB6C53"/>
    <w:rsid w:val="5ACD58E9"/>
    <w:rsid w:val="5AD01EF0"/>
    <w:rsid w:val="5AD638BF"/>
    <w:rsid w:val="5ADE13AA"/>
    <w:rsid w:val="5AE81D9B"/>
    <w:rsid w:val="5AF76C43"/>
    <w:rsid w:val="5B0863BB"/>
    <w:rsid w:val="5B2244B5"/>
    <w:rsid w:val="5B3A10CE"/>
    <w:rsid w:val="5B423BDA"/>
    <w:rsid w:val="5B506884"/>
    <w:rsid w:val="5B5C7BF5"/>
    <w:rsid w:val="5B701E5C"/>
    <w:rsid w:val="5B902576"/>
    <w:rsid w:val="5B942AB6"/>
    <w:rsid w:val="5B981BB8"/>
    <w:rsid w:val="5B9CD1B5"/>
    <w:rsid w:val="5BB0684B"/>
    <w:rsid w:val="5BC807A7"/>
    <w:rsid w:val="5BC94174"/>
    <w:rsid w:val="5BF33B5C"/>
    <w:rsid w:val="5BFE3079"/>
    <w:rsid w:val="5C02023A"/>
    <w:rsid w:val="5C0273CC"/>
    <w:rsid w:val="5C111F45"/>
    <w:rsid w:val="5C1A2A04"/>
    <w:rsid w:val="5C1F115E"/>
    <w:rsid w:val="5C3274DD"/>
    <w:rsid w:val="5C3D4DA9"/>
    <w:rsid w:val="5C3E76E6"/>
    <w:rsid w:val="5C3F0728"/>
    <w:rsid w:val="5C440FE8"/>
    <w:rsid w:val="5C554393"/>
    <w:rsid w:val="5C7050DA"/>
    <w:rsid w:val="5C791CC7"/>
    <w:rsid w:val="5C7E5B66"/>
    <w:rsid w:val="5C871F5D"/>
    <w:rsid w:val="5CA1686E"/>
    <w:rsid w:val="5CB40215"/>
    <w:rsid w:val="5CB91830"/>
    <w:rsid w:val="5CBC7BB9"/>
    <w:rsid w:val="5CCC4FC3"/>
    <w:rsid w:val="5CDA07EC"/>
    <w:rsid w:val="5D0C4F13"/>
    <w:rsid w:val="5D132EFC"/>
    <w:rsid w:val="5D242C86"/>
    <w:rsid w:val="5D5A3273"/>
    <w:rsid w:val="5D603970"/>
    <w:rsid w:val="5D630E03"/>
    <w:rsid w:val="5D707333"/>
    <w:rsid w:val="5D956DC7"/>
    <w:rsid w:val="5D9D6537"/>
    <w:rsid w:val="5DBF5DC8"/>
    <w:rsid w:val="5DBFB89A"/>
    <w:rsid w:val="5DD17A68"/>
    <w:rsid w:val="5DDE4666"/>
    <w:rsid w:val="5DE872A1"/>
    <w:rsid w:val="5DEB07B9"/>
    <w:rsid w:val="5DF47050"/>
    <w:rsid w:val="5DFC0ADF"/>
    <w:rsid w:val="5E1A7EF1"/>
    <w:rsid w:val="5E2B2027"/>
    <w:rsid w:val="5E2B739D"/>
    <w:rsid w:val="5E2C2750"/>
    <w:rsid w:val="5E2F7CB5"/>
    <w:rsid w:val="5E3D22B7"/>
    <w:rsid w:val="5E522227"/>
    <w:rsid w:val="5E56766B"/>
    <w:rsid w:val="5E5C391C"/>
    <w:rsid w:val="5E62685E"/>
    <w:rsid w:val="5E6E6ACE"/>
    <w:rsid w:val="5E771417"/>
    <w:rsid w:val="5E91071E"/>
    <w:rsid w:val="5E987E55"/>
    <w:rsid w:val="5EA0514C"/>
    <w:rsid w:val="5EA651D9"/>
    <w:rsid w:val="5EAB6C91"/>
    <w:rsid w:val="5EB7220C"/>
    <w:rsid w:val="5EBD7118"/>
    <w:rsid w:val="5EC3059E"/>
    <w:rsid w:val="5ECE5416"/>
    <w:rsid w:val="5EDD788D"/>
    <w:rsid w:val="5EE614C2"/>
    <w:rsid w:val="5EEC6EE4"/>
    <w:rsid w:val="5EEE14E9"/>
    <w:rsid w:val="5EFC6CEC"/>
    <w:rsid w:val="5F04666A"/>
    <w:rsid w:val="5F152549"/>
    <w:rsid w:val="5F571196"/>
    <w:rsid w:val="5F5E4572"/>
    <w:rsid w:val="5F694D31"/>
    <w:rsid w:val="5F9A4DA3"/>
    <w:rsid w:val="5F9F5D74"/>
    <w:rsid w:val="5FAF6CF0"/>
    <w:rsid w:val="5FC215E7"/>
    <w:rsid w:val="5FC80F77"/>
    <w:rsid w:val="5FD44C25"/>
    <w:rsid w:val="5FD51941"/>
    <w:rsid w:val="5FD61F7B"/>
    <w:rsid w:val="5FE1769A"/>
    <w:rsid w:val="5FE40C18"/>
    <w:rsid w:val="5FE93ADD"/>
    <w:rsid w:val="5FEE632D"/>
    <w:rsid w:val="5FFBD4F5"/>
    <w:rsid w:val="5FFF7A70"/>
    <w:rsid w:val="600001BE"/>
    <w:rsid w:val="60105DAE"/>
    <w:rsid w:val="602804A2"/>
    <w:rsid w:val="60334977"/>
    <w:rsid w:val="60367040"/>
    <w:rsid w:val="603B21E8"/>
    <w:rsid w:val="603B26D0"/>
    <w:rsid w:val="60493B85"/>
    <w:rsid w:val="6068254C"/>
    <w:rsid w:val="60685013"/>
    <w:rsid w:val="60690681"/>
    <w:rsid w:val="607C4D73"/>
    <w:rsid w:val="60812F13"/>
    <w:rsid w:val="608A23D0"/>
    <w:rsid w:val="60A1A46C"/>
    <w:rsid w:val="60B13157"/>
    <w:rsid w:val="60CD6ACF"/>
    <w:rsid w:val="60CE2284"/>
    <w:rsid w:val="60D672C0"/>
    <w:rsid w:val="60D8224B"/>
    <w:rsid w:val="60DA6328"/>
    <w:rsid w:val="60F443C0"/>
    <w:rsid w:val="60FD2120"/>
    <w:rsid w:val="61076A60"/>
    <w:rsid w:val="611A2EA1"/>
    <w:rsid w:val="611B4D6D"/>
    <w:rsid w:val="61234078"/>
    <w:rsid w:val="61347D62"/>
    <w:rsid w:val="61385925"/>
    <w:rsid w:val="61426647"/>
    <w:rsid w:val="616D4A65"/>
    <w:rsid w:val="617E6E0C"/>
    <w:rsid w:val="61813BE9"/>
    <w:rsid w:val="61815354"/>
    <w:rsid w:val="61AF3A2E"/>
    <w:rsid w:val="61B05790"/>
    <w:rsid w:val="61B86DC4"/>
    <w:rsid w:val="61BB65E9"/>
    <w:rsid w:val="61D21F92"/>
    <w:rsid w:val="61D56007"/>
    <w:rsid w:val="61E87E1A"/>
    <w:rsid w:val="61F85820"/>
    <w:rsid w:val="61FD1E95"/>
    <w:rsid w:val="61FD283B"/>
    <w:rsid w:val="61FD74D4"/>
    <w:rsid w:val="6200468F"/>
    <w:rsid w:val="6207424D"/>
    <w:rsid w:val="62151BE9"/>
    <w:rsid w:val="62225B77"/>
    <w:rsid w:val="62231C3D"/>
    <w:rsid w:val="6225353D"/>
    <w:rsid w:val="624C6144"/>
    <w:rsid w:val="62793F8C"/>
    <w:rsid w:val="62853336"/>
    <w:rsid w:val="62966BB3"/>
    <w:rsid w:val="629E6B91"/>
    <w:rsid w:val="62A971D3"/>
    <w:rsid w:val="62C521C2"/>
    <w:rsid w:val="62C76CB8"/>
    <w:rsid w:val="62C8001D"/>
    <w:rsid w:val="62CB5FBD"/>
    <w:rsid w:val="62F30E54"/>
    <w:rsid w:val="62F5712D"/>
    <w:rsid w:val="631277C2"/>
    <w:rsid w:val="6328198D"/>
    <w:rsid w:val="6351716C"/>
    <w:rsid w:val="636502BF"/>
    <w:rsid w:val="6374588D"/>
    <w:rsid w:val="639C289C"/>
    <w:rsid w:val="63D6147B"/>
    <w:rsid w:val="63EB1EF0"/>
    <w:rsid w:val="63EF441C"/>
    <w:rsid w:val="640854B9"/>
    <w:rsid w:val="640A38B7"/>
    <w:rsid w:val="64101819"/>
    <w:rsid w:val="6423479F"/>
    <w:rsid w:val="642602BC"/>
    <w:rsid w:val="643546DD"/>
    <w:rsid w:val="6442707C"/>
    <w:rsid w:val="647C13D2"/>
    <w:rsid w:val="6496308F"/>
    <w:rsid w:val="649C7341"/>
    <w:rsid w:val="64B35FD5"/>
    <w:rsid w:val="64D06289"/>
    <w:rsid w:val="64D075D0"/>
    <w:rsid w:val="64D24B56"/>
    <w:rsid w:val="64D70A9A"/>
    <w:rsid w:val="64DB2D32"/>
    <w:rsid w:val="64DB57BC"/>
    <w:rsid w:val="64FD7BDD"/>
    <w:rsid w:val="65061BE2"/>
    <w:rsid w:val="65082229"/>
    <w:rsid w:val="650E1FDA"/>
    <w:rsid w:val="6511409A"/>
    <w:rsid w:val="65197815"/>
    <w:rsid w:val="651B58DD"/>
    <w:rsid w:val="653B0935"/>
    <w:rsid w:val="653B483E"/>
    <w:rsid w:val="65425AA4"/>
    <w:rsid w:val="655036AD"/>
    <w:rsid w:val="655047A6"/>
    <w:rsid w:val="65AF57BB"/>
    <w:rsid w:val="65B477FC"/>
    <w:rsid w:val="65C27D8C"/>
    <w:rsid w:val="65C607F8"/>
    <w:rsid w:val="65CE443C"/>
    <w:rsid w:val="65ED743E"/>
    <w:rsid w:val="65ED7FF3"/>
    <w:rsid w:val="65EF8CD6"/>
    <w:rsid w:val="65FE3B89"/>
    <w:rsid w:val="66076109"/>
    <w:rsid w:val="6619413E"/>
    <w:rsid w:val="661A10EB"/>
    <w:rsid w:val="665A1C36"/>
    <w:rsid w:val="665D04B7"/>
    <w:rsid w:val="665F2E34"/>
    <w:rsid w:val="666504D0"/>
    <w:rsid w:val="668A4C2E"/>
    <w:rsid w:val="66975745"/>
    <w:rsid w:val="66A51058"/>
    <w:rsid w:val="66AA1B53"/>
    <w:rsid w:val="66D1163E"/>
    <w:rsid w:val="66D617A9"/>
    <w:rsid w:val="66E13413"/>
    <w:rsid w:val="66F97B21"/>
    <w:rsid w:val="6700109C"/>
    <w:rsid w:val="670825E0"/>
    <w:rsid w:val="67234F49"/>
    <w:rsid w:val="67237CEC"/>
    <w:rsid w:val="672441BD"/>
    <w:rsid w:val="6724E39D"/>
    <w:rsid w:val="672A7771"/>
    <w:rsid w:val="676A2DCE"/>
    <w:rsid w:val="677F5B23"/>
    <w:rsid w:val="67861219"/>
    <w:rsid w:val="67945112"/>
    <w:rsid w:val="67B031DE"/>
    <w:rsid w:val="67BA30BF"/>
    <w:rsid w:val="67CE4BA2"/>
    <w:rsid w:val="67F26707"/>
    <w:rsid w:val="681A000A"/>
    <w:rsid w:val="681C78CA"/>
    <w:rsid w:val="68205A75"/>
    <w:rsid w:val="6838375E"/>
    <w:rsid w:val="68403F88"/>
    <w:rsid w:val="68416D44"/>
    <w:rsid w:val="684752F6"/>
    <w:rsid w:val="684B0C8C"/>
    <w:rsid w:val="68684A2B"/>
    <w:rsid w:val="687E4482"/>
    <w:rsid w:val="687F2B44"/>
    <w:rsid w:val="68902665"/>
    <w:rsid w:val="68956C9F"/>
    <w:rsid w:val="689D7819"/>
    <w:rsid w:val="68AB259D"/>
    <w:rsid w:val="68CF3C80"/>
    <w:rsid w:val="68E53478"/>
    <w:rsid w:val="68F57888"/>
    <w:rsid w:val="68FE614E"/>
    <w:rsid w:val="69003403"/>
    <w:rsid w:val="690B07D0"/>
    <w:rsid w:val="690C2944"/>
    <w:rsid w:val="690C59A1"/>
    <w:rsid w:val="6923710F"/>
    <w:rsid w:val="6924077D"/>
    <w:rsid w:val="69310812"/>
    <w:rsid w:val="693D15CC"/>
    <w:rsid w:val="6945019A"/>
    <w:rsid w:val="695767E8"/>
    <w:rsid w:val="69686C7E"/>
    <w:rsid w:val="6980373E"/>
    <w:rsid w:val="69853464"/>
    <w:rsid w:val="69861E98"/>
    <w:rsid w:val="698BBBB2"/>
    <w:rsid w:val="699B2786"/>
    <w:rsid w:val="69AB46A8"/>
    <w:rsid w:val="69B235AF"/>
    <w:rsid w:val="69DF6E65"/>
    <w:rsid w:val="69EF6DCD"/>
    <w:rsid w:val="69F010DB"/>
    <w:rsid w:val="69F61521"/>
    <w:rsid w:val="6A053A09"/>
    <w:rsid w:val="6A16263B"/>
    <w:rsid w:val="6A185EDB"/>
    <w:rsid w:val="6A391968"/>
    <w:rsid w:val="6A3B6D97"/>
    <w:rsid w:val="6A4307BF"/>
    <w:rsid w:val="6A4E60A7"/>
    <w:rsid w:val="6A51271B"/>
    <w:rsid w:val="6A51648B"/>
    <w:rsid w:val="6A6201F6"/>
    <w:rsid w:val="6A8479A5"/>
    <w:rsid w:val="6A967AD7"/>
    <w:rsid w:val="6AB63EE2"/>
    <w:rsid w:val="6AD65B76"/>
    <w:rsid w:val="6AE34F7F"/>
    <w:rsid w:val="6AF134FF"/>
    <w:rsid w:val="6B16086C"/>
    <w:rsid w:val="6B253AA6"/>
    <w:rsid w:val="6B2605B7"/>
    <w:rsid w:val="6B433751"/>
    <w:rsid w:val="6B5F1278"/>
    <w:rsid w:val="6B6063E3"/>
    <w:rsid w:val="6B776D5C"/>
    <w:rsid w:val="6B856521"/>
    <w:rsid w:val="6B8838C1"/>
    <w:rsid w:val="6BA06BD9"/>
    <w:rsid w:val="6BA5499F"/>
    <w:rsid w:val="6BB409D8"/>
    <w:rsid w:val="6BDE7BCD"/>
    <w:rsid w:val="6BE76A54"/>
    <w:rsid w:val="6BE77C6E"/>
    <w:rsid w:val="6BFE44D9"/>
    <w:rsid w:val="6C026743"/>
    <w:rsid w:val="6C5B7159"/>
    <w:rsid w:val="6C697EAD"/>
    <w:rsid w:val="6C902B0F"/>
    <w:rsid w:val="6CAF63E9"/>
    <w:rsid w:val="6CB93F90"/>
    <w:rsid w:val="6CCB59D8"/>
    <w:rsid w:val="6CCF19D6"/>
    <w:rsid w:val="6CD36174"/>
    <w:rsid w:val="6CD41799"/>
    <w:rsid w:val="6CDC05D0"/>
    <w:rsid w:val="6CE11479"/>
    <w:rsid w:val="6CE35721"/>
    <w:rsid w:val="6CEC2639"/>
    <w:rsid w:val="6CF07E31"/>
    <w:rsid w:val="6CF43F52"/>
    <w:rsid w:val="6CF50055"/>
    <w:rsid w:val="6CF611A2"/>
    <w:rsid w:val="6D164733"/>
    <w:rsid w:val="6D1921C8"/>
    <w:rsid w:val="6D5E670D"/>
    <w:rsid w:val="6D620432"/>
    <w:rsid w:val="6D724E1C"/>
    <w:rsid w:val="6D75740E"/>
    <w:rsid w:val="6D827CCD"/>
    <w:rsid w:val="6D8843DF"/>
    <w:rsid w:val="6D8C0B85"/>
    <w:rsid w:val="6D962A7C"/>
    <w:rsid w:val="6DA80011"/>
    <w:rsid w:val="6DAC5C71"/>
    <w:rsid w:val="6DB24C4D"/>
    <w:rsid w:val="6DBF445F"/>
    <w:rsid w:val="6DCF5C20"/>
    <w:rsid w:val="6DE31EA2"/>
    <w:rsid w:val="6DF308C4"/>
    <w:rsid w:val="6DF97303"/>
    <w:rsid w:val="6DFB703E"/>
    <w:rsid w:val="6DFD4BD6"/>
    <w:rsid w:val="6E2A2653"/>
    <w:rsid w:val="6E3271EF"/>
    <w:rsid w:val="6E3C4DC1"/>
    <w:rsid w:val="6E423185"/>
    <w:rsid w:val="6E432AA5"/>
    <w:rsid w:val="6E4E2CB6"/>
    <w:rsid w:val="6E7C17DB"/>
    <w:rsid w:val="6E813B81"/>
    <w:rsid w:val="6E857C6E"/>
    <w:rsid w:val="6E881964"/>
    <w:rsid w:val="6E967D23"/>
    <w:rsid w:val="6E97749C"/>
    <w:rsid w:val="6EBB3FE4"/>
    <w:rsid w:val="6ECC3836"/>
    <w:rsid w:val="6EE92F58"/>
    <w:rsid w:val="6F0F23EF"/>
    <w:rsid w:val="6F180365"/>
    <w:rsid w:val="6F193C57"/>
    <w:rsid w:val="6F291DC8"/>
    <w:rsid w:val="6F442C09"/>
    <w:rsid w:val="6F5A44C7"/>
    <w:rsid w:val="6F822F9E"/>
    <w:rsid w:val="6F933DCF"/>
    <w:rsid w:val="6FB21929"/>
    <w:rsid w:val="6FC000AF"/>
    <w:rsid w:val="6FC639E4"/>
    <w:rsid w:val="6FCD1832"/>
    <w:rsid w:val="6FD41610"/>
    <w:rsid w:val="6FDC0440"/>
    <w:rsid w:val="6FDD651D"/>
    <w:rsid w:val="6FF163AD"/>
    <w:rsid w:val="701C4FCA"/>
    <w:rsid w:val="702840FE"/>
    <w:rsid w:val="702B4DCD"/>
    <w:rsid w:val="702D32B3"/>
    <w:rsid w:val="7031044D"/>
    <w:rsid w:val="703B69E1"/>
    <w:rsid w:val="70477E63"/>
    <w:rsid w:val="7064505E"/>
    <w:rsid w:val="70694579"/>
    <w:rsid w:val="706B0201"/>
    <w:rsid w:val="70702C20"/>
    <w:rsid w:val="708A1DF8"/>
    <w:rsid w:val="708E16A8"/>
    <w:rsid w:val="70922338"/>
    <w:rsid w:val="70A01158"/>
    <w:rsid w:val="70A0507A"/>
    <w:rsid w:val="70A17FDF"/>
    <w:rsid w:val="70BB266E"/>
    <w:rsid w:val="70BE3090"/>
    <w:rsid w:val="70C40AAE"/>
    <w:rsid w:val="70C7586C"/>
    <w:rsid w:val="70D46FAB"/>
    <w:rsid w:val="70EF24F1"/>
    <w:rsid w:val="70F421D6"/>
    <w:rsid w:val="71267718"/>
    <w:rsid w:val="71280B0A"/>
    <w:rsid w:val="712E4092"/>
    <w:rsid w:val="712E67D7"/>
    <w:rsid w:val="71377385"/>
    <w:rsid w:val="71592437"/>
    <w:rsid w:val="71613775"/>
    <w:rsid w:val="71723736"/>
    <w:rsid w:val="71740C70"/>
    <w:rsid w:val="7179600F"/>
    <w:rsid w:val="717D1020"/>
    <w:rsid w:val="71894921"/>
    <w:rsid w:val="71AA63DA"/>
    <w:rsid w:val="71AE18EC"/>
    <w:rsid w:val="71B31BED"/>
    <w:rsid w:val="71B51DCC"/>
    <w:rsid w:val="71D323C3"/>
    <w:rsid w:val="71EA4378"/>
    <w:rsid w:val="71EA5BBD"/>
    <w:rsid w:val="71F47419"/>
    <w:rsid w:val="71F55DF8"/>
    <w:rsid w:val="71F83203"/>
    <w:rsid w:val="7213312C"/>
    <w:rsid w:val="7216108E"/>
    <w:rsid w:val="72241AF6"/>
    <w:rsid w:val="722462C3"/>
    <w:rsid w:val="72414721"/>
    <w:rsid w:val="72530518"/>
    <w:rsid w:val="725C55F2"/>
    <w:rsid w:val="726456D0"/>
    <w:rsid w:val="7281460B"/>
    <w:rsid w:val="72815496"/>
    <w:rsid w:val="72985267"/>
    <w:rsid w:val="729B2E73"/>
    <w:rsid w:val="729F53DE"/>
    <w:rsid w:val="72ED0B89"/>
    <w:rsid w:val="72F17887"/>
    <w:rsid w:val="72F47A5D"/>
    <w:rsid w:val="72F620CC"/>
    <w:rsid w:val="72F93C8A"/>
    <w:rsid w:val="73131651"/>
    <w:rsid w:val="73191F5C"/>
    <w:rsid w:val="731F648B"/>
    <w:rsid w:val="732073CF"/>
    <w:rsid w:val="7326122F"/>
    <w:rsid w:val="7331488C"/>
    <w:rsid w:val="733A2535"/>
    <w:rsid w:val="73420DE1"/>
    <w:rsid w:val="734E0E97"/>
    <w:rsid w:val="73653FDA"/>
    <w:rsid w:val="737C09CA"/>
    <w:rsid w:val="738155B5"/>
    <w:rsid w:val="73862F96"/>
    <w:rsid w:val="739C3420"/>
    <w:rsid w:val="739DB1DF"/>
    <w:rsid w:val="73A0589A"/>
    <w:rsid w:val="73A38C84"/>
    <w:rsid w:val="73C74D06"/>
    <w:rsid w:val="73D62F74"/>
    <w:rsid w:val="73D870C8"/>
    <w:rsid w:val="73E17A3D"/>
    <w:rsid w:val="73E272A8"/>
    <w:rsid w:val="73E75856"/>
    <w:rsid w:val="73E92CE8"/>
    <w:rsid w:val="74153B92"/>
    <w:rsid w:val="7439769A"/>
    <w:rsid w:val="743F50E3"/>
    <w:rsid w:val="74450416"/>
    <w:rsid w:val="744B2DBA"/>
    <w:rsid w:val="7452070B"/>
    <w:rsid w:val="74574DFB"/>
    <w:rsid w:val="745D031C"/>
    <w:rsid w:val="74625BB8"/>
    <w:rsid w:val="74657698"/>
    <w:rsid w:val="74674DB1"/>
    <w:rsid w:val="7478063C"/>
    <w:rsid w:val="74881991"/>
    <w:rsid w:val="74892D71"/>
    <w:rsid w:val="749C149D"/>
    <w:rsid w:val="749C6361"/>
    <w:rsid w:val="749D1A21"/>
    <w:rsid w:val="749E1B7C"/>
    <w:rsid w:val="74A0284A"/>
    <w:rsid w:val="74AE5AA3"/>
    <w:rsid w:val="74C85BA1"/>
    <w:rsid w:val="74CF7034"/>
    <w:rsid w:val="74DF0134"/>
    <w:rsid w:val="74EB4A9C"/>
    <w:rsid w:val="74EE21D4"/>
    <w:rsid w:val="74FE5AEF"/>
    <w:rsid w:val="75025D2F"/>
    <w:rsid w:val="750301E1"/>
    <w:rsid w:val="75067A47"/>
    <w:rsid w:val="750C380B"/>
    <w:rsid w:val="75104F99"/>
    <w:rsid w:val="751203AC"/>
    <w:rsid w:val="75144A21"/>
    <w:rsid w:val="7515312E"/>
    <w:rsid w:val="754F48F8"/>
    <w:rsid w:val="7559626F"/>
    <w:rsid w:val="756469EF"/>
    <w:rsid w:val="75965A7C"/>
    <w:rsid w:val="75A2036F"/>
    <w:rsid w:val="75AB2C06"/>
    <w:rsid w:val="75B854AA"/>
    <w:rsid w:val="75B913D9"/>
    <w:rsid w:val="75E47E47"/>
    <w:rsid w:val="75E82D96"/>
    <w:rsid w:val="75F630AE"/>
    <w:rsid w:val="75FB3B2D"/>
    <w:rsid w:val="76080057"/>
    <w:rsid w:val="760860EF"/>
    <w:rsid w:val="760A4228"/>
    <w:rsid w:val="76107911"/>
    <w:rsid w:val="761B2C7F"/>
    <w:rsid w:val="762A49CF"/>
    <w:rsid w:val="76313061"/>
    <w:rsid w:val="76356B92"/>
    <w:rsid w:val="764643F9"/>
    <w:rsid w:val="764B14C5"/>
    <w:rsid w:val="765929D8"/>
    <w:rsid w:val="766A2F86"/>
    <w:rsid w:val="76786CD2"/>
    <w:rsid w:val="76825121"/>
    <w:rsid w:val="768328BE"/>
    <w:rsid w:val="76884062"/>
    <w:rsid w:val="768E1052"/>
    <w:rsid w:val="768E4761"/>
    <w:rsid w:val="769878B0"/>
    <w:rsid w:val="76A05BBD"/>
    <w:rsid w:val="76B32FBA"/>
    <w:rsid w:val="76E04470"/>
    <w:rsid w:val="76E2367C"/>
    <w:rsid w:val="76F5676D"/>
    <w:rsid w:val="76FD6C0D"/>
    <w:rsid w:val="7702061F"/>
    <w:rsid w:val="770E3A17"/>
    <w:rsid w:val="772816EE"/>
    <w:rsid w:val="772E6437"/>
    <w:rsid w:val="77370A76"/>
    <w:rsid w:val="773D3663"/>
    <w:rsid w:val="774135DC"/>
    <w:rsid w:val="774605A1"/>
    <w:rsid w:val="774D32FB"/>
    <w:rsid w:val="775247E1"/>
    <w:rsid w:val="775F1D93"/>
    <w:rsid w:val="776B6EA9"/>
    <w:rsid w:val="776E7FD8"/>
    <w:rsid w:val="77725599"/>
    <w:rsid w:val="7797430D"/>
    <w:rsid w:val="779E0E3A"/>
    <w:rsid w:val="77A9029F"/>
    <w:rsid w:val="77B81210"/>
    <w:rsid w:val="77E7709C"/>
    <w:rsid w:val="77EC2949"/>
    <w:rsid w:val="77EE1C66"/>
    <w:rsid w:val="78157084"/>
    <w:rsid w:val="78175C93"/>
    <w:rsid w:val="78291696"/>
    <w:rsid w:val="78426A0F"/>
    <w:rsid w:val="784E7DF9"/>
    <w:rsid w:val="78682F3E"/>
    <w:rsid w:val="786B7F9B"/>
    <w:rsid w:val="786F5E2B"/>
    <w:rsid w:val="78762DDC"/>
    <w:rsid w:val="788F5B32"/>
    <w:rsid w:val="78A31478"/>
    <w:rsid w:val="78DA2F81"/>
    <w:rsid w:val="78E55565"/>
    <w:rsid w:val="78ED669A"/>
    <w:rsid w:val="78F75413"/>
    <w:rsid w:val="791C65F5"/>
    <w:rsid w:val="7927587E"/>
    <w:rsid w:val="792E0A1D"/>
    <w:rsid w:val="79370C37"/>
    <w:rsid w:val="793F1ED3"/>
    <w:rsid w:val="794613D1"/>
    <w:rsid w:val="7946629D"/>
    <w:rsid w:val="794D19C4"/>
    <w:rsid w:val="797401D1"/>
    <w:rsid w:val="798061D4"/>
    <w:rsid w:val="79872BA3"/>
    <w:rsid w:val="799508D4"/>
    <w:rsid w:val="79A00EFC"/>
    <w:rsid w:val="79AD4D8E"/>
    <w:rsid w:val="79BD574A"/>
    <w:rsid w:val="79FB0045"/>
    <w:rsid w:val="79FD6706"/>
    <w:rsid w:val="7A1C7789"/>
    <w:rsid w:val="7A1F6E9A"/>
    <w:rsid w:val="7A307E84"/>
    <w:rsid w:val="7A480707"/>
    <w:rsid w:val="7A4C15E8"/>
    <w:rsid w:val="7A547236"/>
    <w:rsid w:val="7A556F38"/>
    <w:rsid w:val="7A5F3A84"/>
    <w:rsid w:val="7A6143CF"/>
    <w:rsid w:val="7A920BCD"/>
    <w:rsid w:val="7A92607F"/>
    <w:rsid w:val="7ABA15EA"/>
    <w:rsid w:val="7AC30C40"/>
    <w:rsid w:val="7AC42628"/>
    <w:rsid w:val="7AFC3144"/>
    <w:rsid w:val="7AFF4CA8"/>
    <w:rsid w:val="7AFF7A5A"/>
    <w:rsid w:val="7B186900"/>
    <w:rsid w:val="7B366746"/>
    <w:rsid w:val="7B4C1306"/>
    <w:rsid w:val="7B57E9DC"/>
    <w:rsid w:val="7B955765"/>
    <w:rsid w:val="7BB232CE"/>
    <w:rsid w:val="7BB44AB4"/>
    <w:rsid w:val="7BB474C1"/>
    <w:rsid w:val="7BC42425"/>
    <w:rsid w:val="7BDA69BE"/>
    <w:rsid w:val="7BE7D18A"/>
    <w:rsid w:val="7BFE7351"/>
    <w:rsid w:val="7C0120A9"/>
    <w:rsid w:val="7C0F09A5"/>
    <w:rsid w:val="7C0F4016"/>
    <w:rsid w:val="7C2C20C5"/>
    <w:rsid w:val="7C4911E5"/>
    <w:rsid w:val="7C546C0A"/>
    <w:rsid w:val="7C85455D"/>
    <w:rsid w:val="7C8C3684"/>
    <w:rsid w:val="7CB77E70"/>
    <w:rsid w:val="7CC96025"/>
    <w:rsid w:val="7CD60E3A"/>
    <w:rsid w:val="7CE12ECC"/>
    <w:rsid w:val="7CE773AF"/>
    <w:rsid w:val="7CFA0AE2"/>
    <w:rsid w:val="7D01761A"/>
    <w:rsid w:val="7D052A12"/>
    <w:rsid w:val="7D112587"/>
    <w:rsid w:val="7D123C6D"/>
    <w:rsid w:val="7D242996"/>
    <w:rsid w:val="7D2C0836"/>
    <w:rsid w:val="7D3A7F94"/>
    <w:rsid w:val="7D844D89"/>
    <w:rsid w:val="7D9B15FD"/>
    <w:rsid w:val="7DB01BCE"/>
    <w:rsid w:val="7DB54449"/>
    <w:rsid w:val="7DB9608A"/>
    <w:rsid w:val="7DDA6B4D"/>
    <w:rsid w:val="7DFE13F5"/>
    <w:rsid w:val="7DFFCA41"/>
    <w:rsid w:val="7E0C3594"/>
    <w:rsid w:val="7E140D6D"/>
    <w:rsid w:val="7E1D6A1D"/>
    <w:rsid w:val="7E211728"/>
    <w:rsid w:val="7E2B6E14"/>
    <w:rsid w:val="7E2F2575"/>
    <w:rsid w:val="7E402610"/>
    <w:rsid w:val="7E571DE2"/>
    <w:rsid w:val="7E5D1F99"/>
    <w:rsid w:val="7E650D4C"/>
    <w:rsid w:val="7E783062"/>
    <w:rsid w:val="7E7F6A7C"/>
    <w:rsid w:val="7E80387D"/>
    <w:rsid w:val="7E8138D0"/>
    <w:rsid w:val="7E83552B"/>
    <w:rsid w:val="7E96AB73"/>
    <w:rsid w:val="7EAC6E0D"/>
    <w:rsid w:val="7EAD0C30"/>
    <w:rsid w:val="7EB25713"/>
    <w:rsid w:val="7EC20ED5"/>
    <w:rsid w:val="7EC67432"/>
    <w:rsid w:val="7ED3305D"/>
    <w:rsid w:val="7EFBB7FA"/>
    <w:rsid w:val="7EFF378A"/>
    <w:rsid w:val="7F022242"/>
    <w:rsid w:val="7F0B4DE2"/>
    <w:rsid w:val="7F0F749A"/>
    <w:rsid w:val="7F1772C2"/>
    <w:rsid w:val="7F2F6233"/>
    <w:rsid w:val="7F4860AB"/>
    <w:rsid w:val="7F4D8406"/>
    <w:rsid w:val="7F6D0764"/>
    <w:rsid w:val="7F796EA8"/>
    <w:rsid w:val="7F79D555"/>
    <w:rsid w:val="7F8C70E1"/>
    <w:rsid w:val="7F8D82F1"/>
    <w:rsid w:val="7F995D73"/>
    <w:rsid w:val="7FA854E2"/>
    <w:rsid w:val="7FAA2F23"/>
    <w:rsid w:val="7FB64BE4"/>
    <w:rsid w:val="7FBA3476"/>
    <w:rsid w:val="7FBD73D0"/>
    <w:rsid w:val="7FBE83D8"/>
    <w:rsid w:val="7FF920AE"/>
    <w:rsid w:val="7FFB79AE"/>
    <w:rsid w:val="7FFF4389"/>
    <w:rsid w:val="831CF560"/>
    <w:rsid w:val="8589770D"/>
    <w:rsid w:val="86499AA9"/>
    <w:rsid w:val="8969CCF5"/>
    <w:rsid w:val="8A8405BF"/>
    <w:rsid w:val="8BCFD342"/>
    <w:rsid w:val="8CDC60E7"/>
    <w:rsid w:val="8D1A6BAA"/>
    <w:rsid w:val="8D9F7D3C"/>
    <w:rsid w:val="8DB7EECC"/>
    <w:rsid w:val="8E74300A"/>
    <w:rsid w:val="8F30A8F1"/>
    <w:rsid w:val="8F6AE807"/>
    <w:rsid w:val="91DD9367"/>
    <w:rsid w:val="95A9F0AE"/>
    <w:rsid w:val="960FF0FF"/>
    <w:rsid w:val="967C935B"/>
    <w:rsid w:val="9696EB87"/>
    <w:rsid w:val="96C164A0"/>
    <w:rsid w:val="984EE070"/>
    <w:rsid w:val="99D46B94"/>
    <w:rsid w:val="9AEFBA06"/>
    <w:rsid w:val="9C97697B"/>
    <w:rsid w:val="9CD5BF04"/>
    <w:rsid w:val="9DFF35B4"/>
    <w:rsid w:val="9E7166DA"/>
    <w:rsid w:val="9EDD6977"/>
    <w:rsid w:val="9F1038D5"/>
    <w:rsid w:val="A589847C"/>
    <w:rsid w:val="AB01FB18"/>
    <w:rsid w:val="AC13CC6E"/>
    <w:rsid w:val="AF663976"/>
    <w:rsid w:val="AFFBC251"/>
    <w:rsid w:val="B0F345C6"/>
    <w:rsid w:val="B10D1E60"/>
    <w:rsid w:val="B19677D5"/>
    <w:rsid w:val="B29029B2"/>
    <w:rsid w:val="B635C6FB"/>
    <w:rsid w:val="B7951CB9"/>
    <w:rsid w:val="B832F6EA"/>
    <w:rsid w:val="B8A7B7AA"/>
    <w:rsid w:val="BAAC91F6"/>
    <w:rsid w:val="BB66784C"/>
    <w:rsid w:val="BBD7D48C"/>
    <w:rsid w:val="BC6C9FEC"/>
    <w:rsid w:val="BD6F7F77"/>
    <w:rsid w:val="BE7230B8"/>
    <w:rsid w:val="BE9B7E7D"/>
    <w:rsid w:val="BEF73A15"/>
    <w:rsid w:val="BF668107"/>
    <w:rsid w:val="BFF78CDE"/>
    <w:rsid w:val="BFF7E18D"/>
    <w:rsid w:val="C31B7331"/>
    <w:rsid w:val="C51FC168"/>
    <w:rsid w:val="C5E0A4B2"/>
    <w:rsid w:val="C771D275"/>
    <w:rsid w:val="C8CB0ABC"/>
    <w:rsid w:val="C9EF4562"/>
    <w:rsid w:val="CB3B1A31"/>
    <w:rsid w:val="CCD0C0A7"/>
    <w:rsid w:val="CD8DD432"/>
    <w:rsid w:val="CDC99A39"/>
    <w:rsid w:val="CEF875EA"/>
    <w:rsid w:val="CF8CA8E0"/>
    <w:rsid w:val="CFA6B2C1"/>
    <w:rsid w:val="D2AAAB7A"/>
    <w:rsid w:val="D3FB3969"/>
    <w:rsid w:val="D576E2B1"/>
    <w:rsid w:val="D6257BDC"/>
    <w:rsid w:val="D6ABF315"/>
    <w:rsid w:val="D7BE0699"/>
    <w:rsid w:val="D7FF1484"/>
    <w:rsid w:val="D80AA955"/>
    <w:rsid w:val="D8837D1A"/>
    <w:rsid w:val="DCED2263"/>
    <w:rsid w:val="DCF9A6E0"/>
    <w:rsid w:val="DCFBC44C"/>
    <w:rsid w:val="DE9B5CFE"/>
    <w:rsid w:val="DED74CC9"/>
    <w:rsid w:val="DEFEA947"/>
    <w:rsid w:val="E04BDAC9"/>
    <w:rsid w:val="E310E33A"/>
    <w:rsid w:val="E70D6E6B"/>
    <w:rsid w:val="E7579571"/>
    <w:rsid w:val="E85E5763"/>
    <w:rsid w:val="E8F75A78"/>
    <w:rsid w:val="E95BEE86"/>
    <w:rsid w:val="EAC64D73"/>
    <w:rsid w:val="EC57E025"/>
    <w:rsid w:val="EDBF118F"/>
    <w:rsid w:val="EE6CE691"/>
    <w:rsid w:val="EEFDDD1B"/>
    <w:rsid w:val="EF7F2F97"/>
    <w:rsid w:val="EF9F9F03"/>
    <w:rsid w:val="EFBDB2CE"/>
    <w:rsid w:val="EFDF4615"/>
    <w:rsid w:val="F1EF0298"/>
    <w:rsid w:val="F1EF1655"/>
    <w:rsid w:val="F25D416D"/>
    <w:rsid w:val="F4C3146E"/>
    <w:rsid w:val="F53A4716"/>
    <w:rsid w:val="F55EC751"/>
    <w:rsid w:val="F5765697"/>
    <w:rsid w:val="F6B011A8"/>
    <w:rsid w:val="F7EF14FC"/>
    <w:rsid w:val="F7F112B4"/>
    <w:rsid w:val="F85F253D"/>
    <w:rsid w:val="F8FF2D54"/>
    <w:rsid w:val="F97F0BE0"/>
    <w:rsid w:val="FAAB12C7"/>
    <w:rsid w:val="FB52B4E5"/>
    <w:rsid w:val="FB64350B"/>
    <w:rsid w:val="FBE89B09"/>
    <w:rsid w:val="FD77D4D3"/>
    <w:rsid w:val="FDBF49E2"/>
    <w:rsid w:val="FDD0229E"/>
    <w:rsid w:val="FDFF6CB5"/>
    <w:rsid w:val="FE6F8F59"/>
    <w:rsid w:val="FEAB2DFF"/>
    <w:rsid w:val="FF9F5052"/>
    <w:rsid w:val="FFE78161"/>
    <w:rsid w:val="FFF6A45C"/>
    <w:rsid w:val="FFFCDEA2"/>
    <w:rsid w:val="FFFF73CA"/>
    <w:rsid w:val="FFFF89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qFormat/>
    <w:uiPriority w:val="0"/>
    <w:rPr>
      <w:rFonts w:ascii="Times New Roman" w:hAnsi="Times New Roman" w:eastAsia="宋体" w:cs="Times New Roman"/>
    </w:rPr>
  </w:style>
  <w:style w:type="table" w:default="1" w:styleId="12">
    <w:name w:val="Normal Table"/>
    <w:qFormat/>
    <w:uiPriority w:val="0"/>
    <w:tblPr>
      <w:tblCellMar>
        <w:top w:w="0" w:type="dxa"/>
        <w:left w:w="108" w:type="dxa"/>
        <w:bottom w:w="0" w:type="dxa"/>
        <w:right w:w="108" w:type="dxa"/>
      </w:tblCellMar>
    </w:tblPr>
  </w:style>
  <w:style w:type="paragraph" w:styleId="2">
    <w:name w:val="annotation text"/>
    <w:basedOn w:val="1"/>
    <w:link w:val="16"/>
    <w:qFormat/>
    <w:uiPriority w:val="0"/>
    <w:pPr>
      <w:jc w:val="left"/>
    </w:pPr>
    <w:rPr>
      <w:rFonts w:ascii="Times New Roman" w:hAnsi="Times New Roman" w:eastAsia="宋体" w:cs="Times New Roman"/>
    </w:rPr>
  </w:style>
  <w:style w:type="paragraph" w:styleId="3">
    <w:name w:val="Body Text"/>
    <w:basedOn w:val="1"/>
    <w:next w:val="4"/>
    <w:qFormat/>
    <w:uiPriority w:val="0"/>
    <w:pPr>
      <w:ind w:left="120"/>
    </w:pPr>
    <w:rPr>
      <w:rFonts w:ascii="仿宋_GB2312" w:hAnsi="仿宋_GB2312" w:eastAsia="仿宋_GB2312" w:cs="仿宋_GB2312"/>
      <w:sz w:val="32"/>
      <w:szCs w:val="32"/>
      <w:lang w:val="zh-CN" w:eastAsia="zh-CN" w:bidi="zh-CN"/>
    </w:rPr>
  </w:style>
  <w:style w:type="paragraph" w:styleId="4">
    <w:name w:val="Title"/>
    <w:basedOn w:val="1"/>
    <w:next w:val="1"/>
    <w:qFormat/>
    <w:uiPriority w:val="0"/>
    <w:pPr>
      <w:spacing w:before="240" w:after="60"/>
      <w:jc w:val="center"/>
      <w:outlineLvl w:val="0"/>
    </w:pPr>
    <w:rPr>
      <w:rFonts w:ascii="Arial" w:hAnsi="Arial" w:eastAsia="宋体" w:cs="Times New Roman"/>
      <w:b/>
      <w:bCs/>
      <w:sz w:val="32"/>
      <w:szCs w:val="32"/>
    </w:r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rFonts w:ascii="Times New Roman" w:hAnsi="Times New Roman" w:eastAsia="宋体" w:cs="Times New Roman"/>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imes New Roman"/>
      <w:sz w:val="18"/>
    </w:rPr>
  </w:style>
  <w:style w:type="paragraph" w:styleId="8">
    <w:name w:val="toc 2"/>
    <w:next w:val="1"/>
    <w:qFormat/>
    <w:uiPriority w:val="0"/>
    <w:pPr>
      <w:widowControl w:val="0"/>
      <w:ind w:left="420" w:leftChars="200"/>
      <w:jc w:val="both"/>
    </w:pPr>
    <w:rPr>
      <w:rFonts w:ascii="Times New Roman" w:hAnsi="Times New Roman" w:eastAsia="宋体" w:cs="Times New Roman"/>
      <w:kern w:val="2"/>
      <w:sz w:val="21"/>
      <w:szCs w:val="24"/>
      <w:lang w:val="en-US" w:eastAsia="zh-CN" w:bidi="ar-SA"/>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100" w:beforeAutospacing="1" w:after="100" w:afterAutospacing="1"/>
      <w:ind w:left="0" w:right="0"/>
      <w:jc w:val="left"/>
    </w:pPr>
    <w:rPr>
      <w:rFonts w:ascii="Times New Roman" w:hAnsi="Times New Roman" w:eastAsia="宋体" w:cs="Times New Roman"/>
      <w:kern w:val="0"/>
      <w:sz w:val="24"/>
      <w:lang w:val="en-US" w:eastAsia="zh-CN" w:bidi="ar"/>
    </w:rPr>
  </w:style>
  <w:style w:type="paragraph" w:styleId="11">
    <w:name w:val="annotation subject"/>
    <w:basedOn w:val="2"/>
    <w:next w:val="2"/>
    <w:link w:val="18"/>
    <w:qFormat/>
    <w:uiPriority w:val="0"/>
    <w:rPr>
      <w:rFonts w:ascii="Calibri" w:hAnsi="Calibri"/>
      <w:b/>
      <w:bCs/>
    </w:rPr>
  </w:style>
  <w:style w:type="table" w:styleId="13">
    <w:name w:val="Table Grid"/>
    <w:basedOn w:val="1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qFormat/>
    <w:uiPriority w:val="0"/>
    <w:rPr>
      <w:rFonts w:ascii="Times New Roman" w:hAnsi="Times New Roman" w:eastAsia="宋体" w:cs="Times New Roman"/>
      <w:sz w:val="21"/>
      <w:szCs w:val="21"/>
    </w:rPr>
  </w:style>
  <w:style w:type="character" w:customStyle="1" w:styleId="16">
    <w:name w:val="批注文字 Char"/>
    <w:link w:val="2"/>
    <w:qFormat/>
    <w:uiPriority w:val="0"/>
    <w:rPr>
      <w:rFonts w:ascii="Times New Roman" w:hAnsi="Times New Roman" w:eastAsia="宋体" w:cs="Times New Roman"/>
      <w:kern w:val="2"/>
      <w:sz w:val="21"/>
      <w:szCs w:val="24"/>
    </w:rPr>
  </w:style>
  <w:style w:type="character" w:customStyle="1" w:styleId="17">
    <w:name w:val="批注框文本 Char"/>
    <w:link w:val="5"/>
    <w:qFormat/>
    <w:uiPriority w:val="0"/>
    <w:rPr>
      <w:rFonts w:ascii="Calibri" w:hAnsi="Calibri" w:eastAsia="宋体" w:cs="Times New Roman"/>
      <w:kern w:val="2"/>
      <w:sz w:val="18"/>
      <w:szCs w:val="18"/>
    </w:rPr>
  </w:style>
  <w:style w:type="character" w:customStyle="1" w:styleId="18">
    <w:name w:val="批注主题 Char"/>
    <w:link w:val="11"/>
    <w:qFormat/>
    <w:uiPriority w:val="0"/>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2874</Words>
  <Characters>2937</Characters>
  <Lines>24</Lines>
  <Paragraphs>6</Paragraphs>
  <TotalTime>157272023</TotalTime>
  <ScaleCrop>false</ScaleCrop>
  <LinksUpToDate>false</LinksUpToDate>
  <CharactersWithSpaces>2937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2025-01-16T02:58:00Z</dcterms:created>
  <dc:creator>李秋文</dc:creator>
  <cp:lastModifiedBy>黄明月</cp:lastModifiedBy>
  <cp:lastPrinted>2025-03-03T01:13:58Z</cp:lastPrinted>
  <dcterms:modified xsi:type="dcterms:W3CDTF">2025-03-03T01:14:21Z</dcterms:modified>
  <dc:title>附件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80EAB3BC875B4FB09E9C3122A2718C07</vt:lpwstr>
  </property>
  <property fmtid="{D5CDD505-2E9C-101B-9397-08002B2CF9AE}" pid="3" name="KSOProductBuildVer">
    <vt:lpwstr>2052-11.8.2.12085</vt:lpwstr>
  </property>
  <property fmtid="{D5CDD505-2E9C-101B-9397-08002B2CF9AE}" pid="4" name="KSOTemplateDocerSaveRecord">
    <vt:lpwstr>eyJoZGlkIjoiNzc0ZTFjNTJlMjljMmZhMDAyYWE3MGM2NGYwYzdkZjMiLCJ1c2VySWQiOiIzMzU1NDU2NDIifQ==</vt:lpwstr>
  </property>
</Properties>
</file>