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color w:val="000000" w:themeColor="text1"/>
          <w:sz w:val="32"/>
          <w:szCs w:val="32"/>
          <w:highlight w:val="none"/>
          <w14:textFill>
            <w14:solidFill>
              <w14:schemeClr w14:val="tx1"/>
            </w14:solidFill>
          </w14:textFill>
        </w:rPr>
      </w:pPr>
    </w:p>
    <w:p>
      <w:pPr>
        <w:pStyle w:val="13"/>
        <w:rPr>
          <w:rFonts w:hint="eastAsia"/>
          <w:color w:val="000000" w:themeColor="text1"/>
          <w:highlight w:val="none"/>
          <w14:textFill>
            <w14:solidFill>
              <w14:schemeClr w14:val="tx1"/>
            </w14:solidFill>
          </w14:textFill>
        </w:rPr>
      </w:pPr>
    </w:p>
    <w:p>
      <w:pPr>
        <w:spacing w:line="360" w:lineRule="auto"/>
        <w:jc w:val="center"/>
        <w:rPr>
          <w:rFonts w:hint="eastAsia" w:ascii="黑体" w:hAnsi="黑体" w:eastAsia="黑体" w:cs="黑体"/>
          <w:b/>
          <w:color w:val="000000" w:themeColor="text1"/>
          <w:sz w:val="48"/>
          <w:szCs w:val="48"/>
          <w:highlight w:val="none"/>
          <w14:textFill>
            <w14:solidFill>
              <w14:schemeClr w14:val="tx1"/>
            </w14:solidFill>
          </w14:textFill>
        </w:rPr>
      </w:pPr>
      <w:r>
        <w:rPr>
          <w:rFonts w:hint="eastAsia" w:ascii="黑体" w:hAnsi="黑体" w:eastAsia="黑体" w:cs="黑体"/>
          <w:b/>
          <w:color w:val="000000" w:themeColor="text1"/>
          <w:sz w:val="48"/>
          <w:szCs w:val="48"/>
          <w:highlight w:val="none"/>
          <w14:textFill>
            <w14:solidFill>
              <w14:schemeClr w14:val="tx1"/>
            </w14:solidFill>
          </w14:textFill>
        </w:rPr>
        <w:t>广西</w:t>
      </w:r>
      <w:r>
        <w:rPr>
          <w:rFonts w:hint="eastAsia" w:ascii="黑体" w:hAnsi="黑体" w:eastAsia="黑体" w:cs="黑体"/>
          <w:b/>
          <w:color w:val="000000" w:themeColor="text1"/>
          <w:sz w:val="48"/>
          <w:szCs w:val="48"/>
          <w:highlight w:val="none"/>
          <w:lang w:eastAsia="zh-CN"/>
          <w14:textFill>
            <w14:solidFill>
              <w14:schemeClr w14:val="tx1"/>
            </w14:solidFill>
          </w14:textFill>
        </w:rPr>
        <w:t>绿色电力交易</w:t>
      </w:r>
      <w:r>
        <w:rPr>
          <w:rFonts w:hint="eastAsia" w:ascii="黑体" w:hAnsi="黑体" w:eastAsia="黑体" w:cs="黑体"/>
          <w:b/>
          <w:color w:val="000000" w:themeColor="text1"/>
          <w:sz w:val="48"/>
          <w:szCs w:val="48"/>
          <w:highlight w:val="none"/>
          <w14:textFill>
            <w14:solidFill>
              <w14:schemeClr w14:val="tx1"/>
            </w14:solidFill>
          </w14:textFill>
        </w:rPr>
        <w:t>零售服务合同</w:t>
      </w:r>
    </w:p>
    <w:p>
      <w:pPr>
        <w:spacing w:line="360" w:lineRule="auto"/>
        <w:jc w:val="center"/>
        <w:rPr>
          <w:rFonts w:hint="eastAsia" w:ascii="黑体" w:hAnsi="黑体" w:eastAsia="黑体" w:cs="黑体"/>
          <w:b/>
          <w:color w:val="000000" w:themeColor="text1"/>
          <w:sz w:val="48"/>
          <w:szCs w:val="48"/>
          <w:highlight w:val="none"/>
          <w:lang w:eastAsia="zh-CN"/>
          <w14:textFill>
            <w14:solidFill>
              <w14:schemeClr w14:val="tx1"/>
            </w14:solidFill>
          </w14:textFill>
        </w:rPr>
      </w:pPr>
      <w:r>
        <w:rPr>
          <w:rFonts w:hint="eastAsia" w:ascii="黑体" w:hAnsi="黑体" w:eastAsia="黑体" w:cs="黑体"/>
          <w:b/>
          <w:color w:val="000000" w:themeColor="text1"/>
          <w:sz w:val="48"/>
          <w:szCs w:val="48"/>
          <w:highlight w:val="none"/>
          <w:lang w:eastAsia="zh-CN"/>
          <w14:textFill>
            <w14:solidFill>
              <w14:schemeClr w14:val="tx1"/>
            </w14:solidFill>
          </w14:textFill>
        </w:rPr>
        <w:t>（</w:t>
      </w:r>
      <w:r>
        <w:rPr>
          <w:rFonts w:hint="eastAsia" w:ascii="黑体" w:hAnsi="黑体" w:eastAsia="黑体" w:cs="黑体"/>
          <w:b/>
          <w:color w:val="000000" w:themeColor="text1"/>
          <w:sz w:val="48"/>
          <w:szCs w:val="48"/>
          <w:highlight w:val="none"/>
          <w:lang w:val="en-US" w:eastAsia="zh-CN"/>
          <w14:textFill>
            <w14:solidFill>
              <w14:schemeClr w14:val="tx1"/>
            </w14:solidFill>
          </w14:textFill>
        </w:rPr>
        <w:t>范本</w:t>
      </w:r>
      <w:r>
        <w:rPr>
          <w:rFonts w:hint="eastAsia" w:ascii="黑体" w:hAnsi="黑体" w:eastAsia="黑体" w:cs="黑体"/>
          <w:b/>
          <w:color w:val="000000" w:themeColor="text1"/>
          <w:sz w:val="48"/>
          <w:szCs w:val="48"/>
          <w:highlight w:val="none"/>
          <w:lang w:eastAsia="zh-CN"/>
          <w14:textFill>
            <w14:solidFill>
              <w14:schemeClr w14:val="tx1"/>
            </w14:solidFill>
          </w14:textFill>
        </w:rPr>
        <w:t>）</w:t>
      </w: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ind w:firstLine="1606" w:firstLineChars="500"/>
        <w:rPr>
          <w:rFonts w:asciiTheme="minorEastAsia" w:hAnsiTheme="minorEastAsia" w:eastAsiaTheme="minorEastAsia"/>
          <w:b/>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lang w:eastAsia="zh-CN"/>
          <w14:textFill>
            <w14:solidFill>
              <w14:schemeClr w14:val="tx1"/>
            </w14:solidFill>
          </w14:textFill>
        </w:rPr>
        <w:t>甲方</w:t>
      </w:r>
      <w:r>
        <w:rPr>
          <w:rFonts w:hint="eastAsia" w:ascii="黑体" w:hAnsi="黑体" w:eastAsia="黑体" w:cs="黑体"/>
          <w:b/>
          <w:color w:val="000000" w:themeColor="text1"/>
          <w:sz w:val="32"/>
          <w:szCs w:val="32"/>
          <w:highlight w:val="none"/>
          <w14:textFill>
            <w14:solidFill>
              <w14:schemeClr w14:val="tx1"/>
            </w14:solidFill>
          </w14:textFill>
        </w:rPr>
        <w:t>（</w:t>
      </w:r>
      <w:r>
        <w:rPr>
          <w:rFonts w:hint="eastAsia" w:ascii="黑体" w:hAnsi="黑体" w:eastAsia="黑体" w:cs="黑体"/>
          <w:b/>
          <w:color w:val="000000" w:themeColor="text1"/>
          <w:sz w:val="32"/>
          <w:szCs w:val="32"/>
          <w:highlight w:val="none"/>
          <w:lang w:val="en-US" w:eastAsia="zh-CN"/>
          <w14:textFill>
            <w14:solidFill>
              <w14:schemeClr w14:val="tx1"/>
            </w14:solidFill>
          </w14:textFill>
        </w:rPr>
        <w:t>电力用户</w:t>
      </w:r>
      <w:r>
        <w:rPr>
          <w:rFonts w:hint="eastAsia" w:ascii="黑体" w:hAnsi="黑体" w:eastAsia="黑体" w:cs="黑体"/>
          <w:b/>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lang w:eastAsia="zh-CN"/>
          <w14:textFill>
            <w14:solidFill>
              <w14:schemeClr w14:val="tx1"/>
            </w14:solidFill>
          </w14:textFill>
        </w:rPr>
        <w:t>乙方</w:t>
      </w:r>
      <w:r>
        <w:rPr>
          <w:rFonts w:hint="eastAsia" w:ascii="黑体" w:hAnsi="黑体" w:eastAsia="黑体" w:cs="黑体"/>
          <w:b/>
          <w:color w:val="000000" w:themeColor="text1"/>
          <w:sz w:val="32"/>
          <w:szCs w:val="32"/>
          <w:highlight w:val="none"/>
          <w14:textFill>
            <w14:solidFill>
              <w14:schemeClr w14:val="tx1"/>
            </w14:solidFill>
          </w14:textFill>
        </w:rPr>
        <w:t>（</w:t>
      </w:r>
      <w:r>
        <w:rPr>
          <w:rFonts w:hint="eastAsia" w:ascii="黑体" w:hAnsi="黑体" w:eastAsia="黑体" w:cs="黑体"/>
          <w:b/>
          <w:color w:val="000000" w:themeColor="text1"/>
          <w:sz w:val="32"/>
          <w:szCs w:val="32"/>
          <w:highlight w:val="none"/>
          <w:lang w:val="en-US" w:eastAsia="zh-CN"/>
          <w14:textFill>
            <w14:solidFill>
              <w14:schemeClr w14:val="tx1"/>
            </w14:solidFill>
          </w14:textFill>
        </w:rPr>
        <w:t>售电公司</w:t>
      </w:r>
      <w:r>
        <w:rPr>
          <w:rFonts w:hint="eastAsia" w:ascii="黑体" w:hAnsi="黑体" w:eastAsia="黑体" w:cs="黑体"/>
          <w:b/>
          <w:color w:val="000000" w:themeColor="text1"/>
          <w:sz w:val="32"/>
          <w:szCs w:val="32"/>
          <w:highlight w:val="none"/>
          <w14:textFill>
            <w14:solidFill>
              <w14:schemeClr w14:val="tx1"/>
            </w14:solidFill>
          </w14:textFill>
        </w:rPr>
        <w:t xml:space="preserve">）： </w:t>
      </w:r>
    </w:p>
    <w:p>
      <w:pPr>
        <w:rPr>
          <w:rFonts w:asciiTheme="minorEastAsia" w:hAnsiTheme="minorEastAsia" w:eastAsiaTheme="minorEastAsia"/>
          <w:color w:val="000000" w:themeColor="text1"/>
          <w:sz w:val="32"/>
          <w:szCs w:val="32"/>
          <w:highlight w:val="none"/>
          <w14:textFill>
            <w14:solidFill>
              <w14:schemeClr w14:val="tx1"/>
            </w14:solidFill>
          </w14:textFill>
        </w:rPr>
      </w:pPr>
    </w:p>
    <w:p>
      <w:pPr>
        <w:pStyle w:val="13"/>
        <w:rPr>
          <w:color w:val="000000" w:themeColor="text1"/>
          <w:highlight w:val="none"/>
          <w14:textFill>
            <w14:solidFill>
              <w14:schemeClr w14:val="tx1"/>
            </w14:solidFill>
          </w14:textFill>
        </w:rPr>
      </w:pPr>
    </w:p>
    <w:p/>
    <w:p>
      <w:pPr>
        <w:jc w:val="center"/>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签订时间：20   年  月</w:t>
      </w: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color w:val="000000" w:themeColor="text1"/>
          <w:kern w:val="0"/>
          <w:sz w:val="32"/>
          <w:szCs w:val="32"/>
          <w:highlight w:val="none"/>
          <w14:textFill>
            <w14:solidFill>
              <w14:schemeClr w14:val="tx1"/>
            </w14:solidFill>
          </w14:textFill>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color w:val="000000" w:themeColor="text1"/>
          <w:kern w:val="0"/>
          <w:sz w:val="32"/>
          <w:szCs w:val="32"/>
          <w:highlight w:val="none"/>
          <w14:textFill>
            <w14:solidFill>
              <w14:schemeClr w14:val="tx1"/>
            </w14:solidFill>
          </w14:textFill>
        </w:rPr>
      </w:pPr>
      <w:r>
        <w:rPr>
          <w:rFonts w:eastAsia="黑体"/>
          <w:color w:val="000000" w:themeColor="text1"/>
          <w:kern w:val="0"/>
          <w:sz w:val="36"/>
          <w:szCs w:val="36"/>
          <w:highlight w:val="none"/>
          <w14:textFill>
            <w14:solidFill>
              <w14:schemeClr w14:val="tx1"/>
            </w14:solidFill>
          </w14:textFill>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一、《广西</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零售服务合同（</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范本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）》（以下简称“</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范本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”）适用于按照电力交易规则、年度交易实施方案</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细则</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通知</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等要求参加广西</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绿色电力交易（以下简称“绿电交易”）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零售市场的售电公司与电力用户。</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二、本范本适用于</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售电公司</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与电力用户在广</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西</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电力市场开展的</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零售结算，在电力交易平台进行</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存档</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，实现电子合同全流程管理。</w:t>
      </w:r>
    </w:p>
    <w:p>
      <w:pPr>
        <w:spacing w:line="341" w:lineRule="auto"/>
        <w:ind w:left="0" w:leftChars="0" w:firstLine="560" w:firstLineChars="200"/>
        <w:outlineLvl w:val="9"/>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、本</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参考文本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若与</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现行有效的绿电</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交易规则</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年度交易实施方案冲突，以</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绿电交易规则、</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年度交易实施方案为准。</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如国家法律、法规发生变化或者政府有关部门、监管机构出台有关规定、规则，合同各方应按照法律、法规、规定和规则予以调整和修改。</w:t>
      </w: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hint="eastAsia" w:ascii="黑体" w:hAnsi="黑体" w:eastAsia="黑体" w:cs="黑体"/>
          <w:color w:val="000000" w:themeColor="text1"/>
          <w:sz w:val="30"/>
          <w:szCs w:val="30"/>
          <w:highlight w:val="none"/>
          <w14:textFill>
            <w14:solidFill>
              <w14:schemeClr w14:val="tx1"/>
            </w14:solidFill>
          </w14:textFill>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color w:val="000000" w:themeColor="text1"/>
          <w:sz w:val="21"/>
          <w:highlight w:val="none"/>
          <w14:textFill>
            <w14:solidFill>
              <w14:schemeClr w14:val="tx1"/>
            </w14:solidFill>
          </w14:textFill>
        </w:rPr>
        <w:id w:val="147476756"/>
      </w:sdtPr>
      <w:sdtEndPr>
        <w:rPr>
          <w:rFonts w:asciiTheme="minorHAnsi" w:hAnsiTheme="minorHAnsi" w:eastAsiaTheme="minorHAnsi" w:cstheme="minorBidi"/>
          <w:color w:val="000000" w:themeColor="text1"/>
          <w:sz w:val="20"/>
          <w:szCs w:val="20"/>
          <w:highlight w:val="none"/>
          <w14:textFill>
            <w14:solidFill>
              <w14:schemeClr w14:val="tx1"/>
            </w14:solidFill>
          </w14:textFill>
        </w:rPr>
      </w:sdtEndPr>
      <w:sdtContent>
        <w:p>
          <w:pPr>
            <w:jc w:val="center"/>
            <w:rPr>
              <w:color w:val="000000" w:themeColor="text1"/>
              <w:highlight w:val="none"/>
              <w14:textFill>
                <w14:solidFill>
                  <w14:schemeClr w14:val="tx1"/>
                </w14:solidFill>
              </w14:textFill>
            </w:rPr>
          </w:pPr>
        </w:p>
        <w:sdt>
          <w:sdtPr>
            <w:rPr>
              <w:rFonts w:ascii="宋体" w:hAnsi="宋体" w:eastAsia="宋体"/>
              <w:color w:val="000000" w:themeColor="text1"/>
              <w:sz w:val="21"/>
              <w:highlight w:val="none"/>
              <w14:textFill>
                <w14:solidFill>
                  <w14:schemeClr w14:val="tx1"/>
                </w14:solidFill>
              </w14:textFill>
            </w:rPr>
            <w:id w:val="147464853"/>
          </w:sdtPr>
          <w:sdtEndPr>
            <w:rPr>
              <w:rFonts w:asciiTheme="minorHAnsi" w:hAnsiTheme="minorHAnsi" w:eastAsiaTheme="minorHAnsi" w:cstheme="minorBidi"/>
              <w:color w:val="000000" w:themeColor="text1"/>
              <w:sz w:val="20"/>
              <w:szCs w:val="20"/>
              <w:highlight w:val="none"/>
              <w14:textFill>
                <w14:solidFill>
                  <w14:schemeClr w14:val="tx1"/>
                </w14:solidFill>
              </w14:textFill>
            </w:rPr>
          </w:sdtEndPr>
          <w:sdtContent>
            <w:p>
              <w:pPr>
                <w:jc w:val="center"/>
                <w:rPr>
                  <w:color w:val="000000" w:themeColor="text1"/>
                  <w:highlight w:val="none"/>
                  <w14:textFill>
                    <w14:solidFill>
                      <w14:schemeClr w14:val="tx1"/>
                    </w14:solidFill>
                  </w14:textFill>
                </w:rPr>
              </w:pPr>
            </w:p>
            <w:p>
              <w:pPr>
                <w:spacing w:before="0" w:beforeLines="0" w:after="0" w:afterLines="0" w:line="240" w:lineRule="auto"/>
                <w:ind w:left="0" w:leftChars="0" w:right="0" w:rightChars="0" w:firstLine="0" w:firstLineChars="0"/>
                <w:jc w:val="center"/>
                <w:rPr>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目</w:t>
              </w:r>
              <w:r>
                <w:rPr>
                  <w:rFonts w:hint="eastAsia" w:ascii="黑体" w:hAnsi="黑体" w:eastAsia="黑体" w:cs="黑体"/>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8"/>
                  <w:szCs w:val="28"/>
                  <w:highlight w:val="none"/>
                  <w14:textFill>
                    <w14:solidFill>
                      <w14:schemeClr w14:val="tx1"/>
                    </w14:solidFill>
                  </w14:textFill>
                </w:rPr>
                <w:t>录</w:t>
              </w:r>
              <w:r>
                <w:rPr>
                  <w:color w:val="000000" w:themeColor="text1"/>
                  <w:sz w:val="28"/>
                  <w:szCs w:val="28"/>
                  <w:highlight w:val="none"/>
                  <w14:textFill>
                    <w14:solidFill>
                      <w14:schemeClr w14:val="tx1"/>
                    </w14:solidFill>
                  </w14:textFill>
                </w:rPr>
                <w:fldChar w:fldCharType="begin"/>
              </w:r>
              <w:r>
                <w:rPr>
                  <w:color w:val="000000" w:themeColor="text1"/>
                  <w:sz w:val="28"/>
                  <w:szCs w:val="28"/>
                  <w:highlight w:val="none"/>
                  <w14:textFill>
                    <w14:solidFill>
                      <w14:schemeClr w14:val="tx1"/>
                    </w14:solidFill>
                  </w14:textFill>
                </w:rPr>
                <w:instrText xml:space="preserve"> HYPERLINK \l _Toc8863 </w:instrText>
              </w:r>
              <w:r>
                <w:rPr>
                  <w:color w:val="000000" w:themeColor="text1"/>
                  <w:sz w:val="28"/>
                  <w:szCs w:val="28"/>
                  <w:highlight w:val="none"/>
                  <w14:textFill>
                    <w14:solidFill>
                      <w14:schemeClr w14:val="tx1"/>
                    </w14:solidFill>
                  </w14:textFill>
                </w:rPr>
                <w:fldChar w:fldCharType="separate"/>
              </w:r>
            </w:p>
            <w:sdt>
              <w:sdtPr>
                <w:rPr>
                  <w:rFonts w:ascii="宋体" w:hAnsi="宋体" w:eastAsia="宋体" w:cstheme="minorBidi"/>
                  <w:color w:val="000000" w:themeColor="text1"/>
                  <w:kern w:val="2"/>
                  <w:sz w:val="21"/>
                  <w:szCs w:val="24"/>
                  <w:lang w:val="en-US" w:eastAsia="zh-CN" w:bidi="ar-SA"/>
                  <w14:textFill>
                    <w14:solidFill>
                      <w14:schemeClr w14:val="tx1"/>
                    </w14:solidFill>
                  </w14:textFill>
                </w:rPr>
                <w:id w:val="147453383"/>
                <w15:color w:val="DBDBDB"/>
                <w:docPartObj>
                  <w:docPartGallery w:val="Table of Contents"/>
                  <w:docPartUnique/>
                </w:docPartObj>
              </w:sdtPr>
              <w:sdtEndPr>
                <w:rPr>
                  <w:rFonts w:ascii="宋体" w:hAnsi="宋体" w:eastAsia="宋体" w:cstheme="minorBidi"/>
                  <w:color w:val="000000" w:themeColor="text1"/>
                  <w:kern w:val="2"/>
                  <w:sz w:val="28"/>
                  <w:szCs w:val="28"/>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fldChar w:fldCharType="begin"/>
                  </w:r>
                  <w:r>
                    <w:rPr>
                      <w:rFonts w:ascii="宋体" w:hAnsi="宋体" w:eastAsia="宋体"/>
                      <w:color w:val="000000" w:themeColor="text1"/>
                      <w:sz w:val="28"/>
                      <w:szCs w:val="28"/>
                      <w14:textFill>
                        <w14:solidFill>
                          <w14:schemeClr w14:val="tx1"/>
                        </w14:solidFill>
                      </w14:textFill>
                    </w:rPr>
                    <w:instrText xml:space="preserve">TOC \o "1-1" \h \u </w:instrText>
                  </w:r>
                  <w:r>
                    <w:rPr>
                      <w:rFonts w:ascii="宋体" w:hAnsi="宋体" w:eastAsia="宋体"/>
                      <w:color w:val="000000" w:themeColor="text1"/>
                      <w:sz w:val="28"/>
                      <w:szCs w:val="28"/>
                      <w14:textFill>
                        <w14:solidFill>
                          <w14:schemeClr w14:val="tx1"/>
                        </w14:solidFill>
                      </w14:textFill>
                    </w:rPr>
                    <w:fldChar w:fldCharType="separate"/>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_Toc16076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第1章　定义和说明</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_Toc16076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_Toc3271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14:textFill>
                        <w14:solidFill>
                          <w14:schemeClr w14:val="tx1"/>
                        </w14:solidFill>
                      </w14:textFill>
                    </w:rPr>
                    <w:t>章　双方承诺</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_Toc3271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_Toc18964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z w:val="28"/>
                      <w:szCs w:val="28"/>
                      <w:highlight w:val="none"/>
                      <w14:textFill>
                        <w14:solidFill>
                          <w14:schemeClr w14:val="tx1"/>
                        </w14:solidFill>
                      </w14:textFill>
                    </w:rPr>
                    <w:t>章　双方的权利和义务</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_Toc18964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_Toc21283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14:textFill>
                        <w14:solidFill>
                          <w14:schemeClr w14:val="tx1"/>
                        </w14:solidFill>
                      </w14:textFill>
                    </w:rPr>
                    <w:t>章　</w:t>
                  </w:r>
                  <w:r>
                    <w:rPr>
                      <w:rFonts w:hint="eastAsia" w:ascii="宋体" w:hAnsi="宋体" w:eastAsia="宋体" w:cs="宋体"/>
                      <w:color w:val="000000" w:themeColor="text1"/>
                      <w:sz w:val="28"/>
                      <w:szCs w:val="28"/>
                      <w:highlight w:val="none"/>
                      <w:lang w:val="en-US" w:eastAsia="zh-CN"/>
                      <w14:textFill>
                        <w14:solidFill>
                          <w14:schemeClr w14:val="tx1"/>
                        </w14:solidFill>
                      </w14:textFill>
                    </w:rPr>
                    <w:t>结算事宜</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_Toc21283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7</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_Toc4354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第5章　电能计量</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_Toc4354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_Toc14445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第6章  合同生效和期限</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_Toc14445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10</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_Toc6788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第7章  合同变更和解除</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_Toc6788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10</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_Toc14569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第8章　合同违约和赔偿</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_Toc14569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10</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_Toc26287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第9章　免责条款</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_Toc26287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_Toc32172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第10章　争议的解决</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_Toc32172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4"/>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_Toc26164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第11章　其他</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_Toc26164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fldChar w:fldCharType="end"/>
                  </w:r>
                </w:p>
              </w:sdtContent>
            </w:sdt>
            <w:p>
              <w:pPr>
                <w:pStyle w:val="14"/>
                <w:tabs>
                  <w:tab w:val="right" w:leader="dot" w:pos="8200"/>
                </w:tabs>
                <w:rPr>
                  <w:rFonts w:ascii="宋体" w:hAnsi="宋体" w:eastAsia="宋体"/>
                  <w:color w:val="000000" w:themeColor="text1"/>
                  <w:sz w:val="28"/>
                  <w:szCs w:val="28"/>
                  <w14:textFill>
                    <w14:solidFill>
                      <w14:schemeClr w14:val="tx1"/>
                    </w14:solidFill>
                  </w14:textFill>
                </w:rPr>
              </w:pPr>
            </w:p>
            <w:p>
              <w:pPr>
                <w:pStyle w:val="14"/>
                <w:tabs>
                  <w:tab w:val="right" w:leader="dot" w:pos="8200"/>
                </w:tabs>
                <w:rPr>
                  <w:rFonts w:ascii="宋体" w:hAnsi="宋体" w:eastAsia="宋体"/>
                  <w:color w:val="000000" w:themeColor="text1"/>
                  <w:sz w:val="28"/>
                  <w:szCs w:val="28"/>
                  <w14:textFill>
                    <w14:solidFill>
                      <w14:schemeClr w14:val="tx1"/>
                    </w14:solidFill>
                  </w14:textFill>
                </w:rPr>
              </w:pP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p>
            <w:p>
              <w:pPr>
                <w:pStyle w:val="14"/>
                <w:tabs>
                  <w:tab w:val="right" w:leader="dot" w:pos="8200"/>
                </w:tabs>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fldChar w:fldCharType="end"/>
              </w:r>
            </w:p>
            <w:p>
              <w:pPr>
                <w:pStyle w:val="14"/>
                <w:tabs>
                  <w:tab w:val="right" w:leader="dot" w:pos="8200"/>
                </w:tabs>
                <w:rPr>
                  <w:color w:val="000000" w:themeColor="text1"/>
                  <w:highlight w:val="none"/>
                  <w14:textFill>
                    <w14:solidFill>
                      <w14:schemeClr w14:val="tx1"/>
                    </w14:solidFill>
                  </w14:textFill>
                </w:rPr>
              </w:pPr>
            </w:p>
          </w:sdtContent>
        </w:sdt>
        <w:p>
          <w:pPr>
            <w:spacing w:before="0" w:beforeLines="0" w:after="0" w:afterLines="0" w:line="240" w:lineRule="auto"/>
            <w:ind w:left="0" w:leftChars="0" w:right="0" w:rightChars="0" w:firstLine="0" w:firstLineChars="0"/>
            <w:jc w:val="center"/>
            <w:rPr>
              <w:rFonts w:ascii="宋体" w:hAnsi="宋体" w:eastAsia="宋体"/>
              <w:color w:val="000000" w:themeColor="text1"/>
              <w:sz w:val="21"/>
              <w:highlight w:val="none"/>
              <w14:textFill>
                <w14:solidFill>
                  <w14:schemeClr w14:val="tx1"/>
                </w14:solidFill>
              </w14:textFill>
            </w:rPr>
          </w:pPr>
        </w:p>
        <w:p>
          <w:pPr>
            <w:pStyle w:val="14"/>
            <w:tabs>
              <w:tab w:val="right" w:leader="dot" w:pos="8200"/>
            </w:tabs>
            <w:rPr>
              <w:color w:val="000000" w:themeColor="text1"/>
              <w:highlight w:val="none"/>
              <w14:textFill>
                <w14:solidFill>
                  <w14:schemeClr w14:val="tx1"/>
                </w14:solidFill>
              </w14:textFill>
            </w:rPr>
          </w:pPr>
        </w:p>
      </w:sdtContent>
    </w:sdt>
    <w:p>
      <w:pPr>
        <w:jc w:val="center"/>
        <w:rPr>
          <w:rFonts w:hint="eastAsia" w:ascii="黑体" w:hAnsi="黑体" w:eastAsia="黑体" w:cs="黑体"/>
          <w:color w:val="000000" w:themeColor="text1"/>
          <w:sz w:val="28"/>
          <w:szCs w:val="28"/>
          <w:highlight w:val="none"/>
          <w14:textFill>
            <w14:solidFill>
              <w14:schemeClr w14:val="tx1"/>
            </w14:solidFill>
          </w14:textFill>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color w:val="000000" w:themeColor="text1"/>
          <w:sz w:val="28"/>
          <w:szCs w:val="28"/>
          <w:highlight w:val="none"/>
          <w14:textFill>
            <w14:solidFill>
              <w14:schemeClr w14:val="tx1"/>
            </w14:solidFill>
          </w14:textFill>
        </w:rPr>
      </w:pPr>
      <w:bookmarkStart w:id="0" w:name="_Toc474141909"/>
      <w:bookmarkStart w:id="1" w:name="_Toc12797"/>
      <w:bookmarkStart w:id="2" w:name="_Toc20560"/>
      <w:bookmarkStart w:id="3" w:name="_Toc6874"/>
      <w:bookmarkStart w:id="4" w:name="_Toc12400"/>
      <w:r>
        <w:rPr>
          <w:rFonts w:hint="eastAsia" w:asciiTheme="minorEastAsia" w:hAnsiTheme="minorEastAsia" w:eastAsiaTheme="minorEastAsia"/>
          <w:color w:val="000000" w:themeColor="text1"/>
          <w:sz w:val="28"/>
          <w:szCs w:val="28"/>
          <w:highlight w:val="none"/>
          <w14:textFill>
            <w14:solidFill>
              <w14:schemeClr w14:val="tx1"/>
            </w14:solidFill>
          </w14:textFill>
        </w:rPr>
        <w:t>本合同</w:t>
      </w:r>
      <w:r>
        <w:rPr>
          <w:rFonts w:asciiTheme="minorEastAsia" w:hAnsiTheme="minorEastAsia" w:eastAsiaTheme="minorEastAsia"/>
          <w:color w:val="000000" w:themeColor="text1"/>
          <w:sz w:val="28"/>
          <w:szCs w:val="28"/>
          <w:highlight w:val="none"/>
          <w14:textFill>
            <w14:solidFill>
              <w14:schemeClr w14:val="tx1"/>
            </w14:solidFill>
          </w14:textFill>
        </w:rPr>
        <w:t>由下列</w:t>
      </w:r>
      <w:r>
        <w:rPr>
          <w:rFonts w:hint="eastAsia" w:asciiTheme="minorEastAsia" w:hAnsiTheme="minorEastAsia" w:eastAsiaTheme="minorEastAsia"/>
          <w:color w:val="000000" w:themeColor="text1"/>
          <w:sz w:val="28"/>
          <w:szCs w:val="28"/>
          <w:highlight w:val="none"/>
          <w14:textFill>
            <w14:solidFill>
              <w14:schemeClr w14:val="tx1"/>
            </w14:solidFill>
          </w14:textFill>
        </w:rPr>
        <w:t>双</w:t>
      </w:r>
      <w:r>
        <w:rPr>
          <w:rFonts w:asciiTheme="minorEastAsia" w:hAnsiTheme="minorEastAsia" w:eastAsiaTheme="minorEastAsia"/>
          <w:color w:val="000000" w:themeColor="text1"/>
          <w:sz w:val="28"/>
          <w:szCs w:val="28"/>
          <w:highlight w:val="none"/>
          <w14:textFill>
            <w14:solidFill>
              <w14:schemeClr w14:val="tx1"/>
            </w14:solidFill>
          </w14:textFill>
        </w:rPr>
        <w:t>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即</w:t>
      </w:r>
      <w:r>
        <w:rPr>
          <w:rFonts w:asciiTheme="minorEastAsia" w:hAnsiTheme="minorEastAsia" w:eastAsiaTheme="minorEastAsia"/>
          <w:color w:val="000000" w:themeColor="text1"/>
          <w:sz w:val="28"/>
          <w:szCs w:val="28"/>
          <w:highlight w:val="none"/>
          <w14:textFill>
            <w14:solidFill>
              <w14:schemeClr w14:val="tx1"/>
            </w14:solidFill>
          </w14:textFill>
        </w:rPr>
        <w:t>电力用户）：</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系一家具有</w:t>
      </w:r>
      <w:r>
        <w:rPr>
          <w:rFonts w:hint="default" w:asciiTheme="minorEastAsia" w:hAnsiTheme="minorEastAsia" w:eastAsiaTheme="minorEastAsia"/>
          <w:color w:val="000000" w:themeColor="text1"/>
          <w:sz w:val="28"/>
          <w:szCs w:val="28"/>
          <w:u w:val="single"/>
          <w:lang w:val="en-US"/>
          <w14:textFill>
            <w14:solidFill>
              <w14:schemeClr w14:val="tx1"/>
            </w14:solidFill>
          </w14:textFill>
        </w:rPr>
        <w:t xml:space="preserve">  </w:t>
      </w:r>
      <w:r>
        <w:rPr>
          <w:rFonts w:hint="default" w:asciiTheme="minorEastAsia" w:hAnsiTheme="minorEastAsia" w:eastAsia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olor w:val="000000" w:themeColor="text1"/>
          <w:sz w:val="28"/>
          <w:szCs w:val="28"/>
          <w:u w:val="single"/>
          <w:lang w:val="en-US"/>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法人资格/经法人单位授权（可选项）</w:t>
      </w:r>
      <w:r>
        <w:rPr>
          <w:rFonts w:asciiTheme="minorEastAsia" w:hAnsiTheme="minorEastAsia" w:eastAsiaTheme="minorEastAsia"/>
          <w:color w:val="000000" w:themeColor="text1"/>
          <w:sz w:val="28"/>
          <w:szCs w:val="28"/>
          <w14:textFill>
            <w14:solidFill>
              <w14:schemeClr w14:val="tx1"/>
            </w14:solidFill>
          </w14:textFill>
        </w:rPr>
        <w:t>企业，</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具备广西电力市场交易资格，</w:t>
      </w:r>
      <w:r>
        <w:rPr>
          <w:rFonts w:hint="default" w:asciiTheme="minorEastAsia" w:hAnsiTheme="minorEastAsia" w:eastAsiaTheme="minorEastAsia"/>
          <w:color w:val="000000" w:themeColor="text1"/>
          <w:sz w:val="28"/>
          <w:szCs w:val="28"/>
          <w:highlight w:val="none"/>
          <w14:textFill>
            <w14:solidFill>
              <w14:schemeClr w14:val="tx1"/>
            </w14:solidFill>
          </w14:textFill>
        </w:rPr>
        <w:t>企业所在地为</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asciiTheme="minorEastAsia" w:hAnsiTheme="minorEastAsia" w:eastAsiaTheme="minorEastAsia"/>
          <w:color w:val="000000" w:themeColor="text1"/>
          <w:sz w:val="28"/>
          <w:szCs w:val="28"/>
          <w:highlight w:val="none"/>
          <w14:textFill>
            <w14:solidFill>
              <w14:schemeClr w14:val="tx1"/>
            </w14:solidFill>
          </w14:textFill>
        </w:rPr>
        <w:t>在</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工商行政管理局登记注册，统一社会信用代码（</w:t>
      </w:r>
      <w:r>
        <w:rPr>
          <w:rFonts w:hint="eastAsia" w:asciiTheme="minorEastAsia" w:hAnsiTheme="minorEastAsia" w:eastAsiaTheme="minorEastAsia"/>
          <w:color w:val="000000" w:themeColor="text1"/>
          <w:sz w:val="28"/>
          <w:szCs w:val="28"/>
          <w:highlight w:val="none"/>
          <w14:textFill>
            <w14:solidFill>
              <w14:schemeClr w14:val="tx1"/>
            </w14:solidFill>
          </w14:textFill>
        </w:rPr>
        <w:t>组织机构代码</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，法定代表人（企业负责人）：</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身份证号码：</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line="382" w:lineRule="exact"/>
        <w:ind w:left="0" w:leftChars="0" w:firstLine="562" w:firstLineChars="200"/>
        <w:jc w:val="both"/>
        <w:textAlignment w:val="auto"/>
        <w:outlineLvl w:val="0"/>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5" w:name="_Toc17000"/>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联络通讯信息：</w:t>
      </w:r>
      <w:bookmarkEnd w:id="5"/>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pPr>
      <w:bookmarkStart w:id="6" w:name="_Toc12905"/>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联系人：</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电子邮箱：</w:t>
      </w:r>
      <w:bookmarkEnd w:id="6"/>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ascii="Times New Roman" w:eastAsia="Times New Roman"/>
          <w:b w:val="0"/>
          <w:bCs w:val="0"/>
          <w:color w:val="000000" w:themeColor="text1"/>
          <w:highlight w:val="none"/>
          <w14:textFill>
            <w14:solidFill>
              <w14:schemeClr w14:val="tx1"/>
            </w14:solidFill>
          </w14:textFill>
        </w:rPr>
      </w:pPr>
      <w:bookmarkStart w:id="7" w:name="_Toc32233"/>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电话</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bookmarkStart w:id="8" w:name="_Toc27226_WPSOffice_Level1"/>
      <w:bookmarkStart w:id="9" w:name="_Toc13223_WPSOffice_Level1"/>
      <w:bookmarkStart w:id="10" w:name="_Toc32147_WPSOffice_Level1"/>
      <w:bookmarkStart w:id="11" w:name="_Toc31609_WPSOffice_Level1"/>
      <w:bookmarkStart w:id="12" w:name="_Toc26491_WPSOffice_Level1"/>
      <w:bookmarkStart w:id="13" w:name="_Toc5628_WPSOffice_Level1"/>
      <w:bookmarkStart w:id="14" w:name="_Toc31020_WPSOffice_Level1"/>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联</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系</w:t>
      </w:r>
      <w:r>
        <w:rPr>
          <w:rFonts w:hint="eastAsia" w:asciiTheme="minorEastAsia" w:hAnsiTheme="minorEastAsia" w:eastAsiaTheme="minorEastAsia" w:cstheme="minorEastAsia"/>
          <w:b w:val="0"/>
          <w:bCs w:val="0"/>
          <w:color w:val="000000" w:themeColor="text1"/>
          <w:spacing w:val="-145"/>
          <w:sz w:val="28"/>
          <w:szCs w:val="28"/>
          <w:highlight w:val="non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地址</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w:t>
      </w:r>
      <w:bookmarkEnd w:id="7"/>
      <w:bookmarkEnd w:id="8"/>
      <w:bookmarkEnd w:id="9"/>
      <w:bookmarkEnd w:id="10"/>
      <w:bookmarkEnd w:id="11"/>
      <w:bookmarkEnd w:id="12"/>
      <w:bookmarkEnd w:id="13"/>
      <w:bookmarkEnd w:id="14"/>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p>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560" w:firstLineChars="200"/>
        <w:textAlignment w:val="auto"/>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（2）乙方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即</w:t>
      </w:r>
      <w:r>
        <w:rPr>
          <w:rFonts w:hint="eastAsia" w:asciiTheme="minorEastAsia" w:hAnsiTheme="minorEastAsia" w:eastAsiaTheme="minorEastAsia"/>
          <w:color w:val="000000" w:themeColor="text1"/>
          <w:sz w:val="28"/>
          <w:szCs w:val="28"/>
          <w:highlight w:val="none"/>
          <w14:textFill>
            <w14:solidFill>
              <w14:schemeClr w14:val="tx1"/>
            </w14:solidFill>
          </w14:textFill>
        </w:rPr>
        <w:t>售电公司</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 xml:space="preserve">系一家具有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法人资格/经法人单位授权</w:t>
      </w:r>
      <w:r>
        <w:rPr>
          <w:rFonts w:hint="eastAsia" w:asciiTheme="minorEastAsia" w:hAnsiTheme="minorEastAsia" w:eastAsiaTheme="minorEastAsia"/>
          <w:color w:val="000000" w:themeColor="text1"/>
          <w:sz w:val="28"/>
          <w:szCs w:val="28"/>
          <w:highlight w:val="none"/>
          <w14:textFill>
            <w14:solidFill>
              <w14:schemeClr w14:val="tx1"/>
            </w14:solidFill>
          </w14:textFill>
        </w:rPr>
        <w:t>（可选项）</w:t>
      </w:r>
      <w:r>
        <w:rPr>
          <w:rFonts w:hint="eastAsia" w:asciiTheme="minorEastAsia" w:hAnsiTheme="minorEastAsia"/>
          <w:color w:val="000000" w:themeColor="text1"/>
          <w:sz w:val="28"/>
          <w:szCs w:val="28"/>
          <w:highlight w:val="none"/>
          <w:lang w:val="en-US" w:eastAsia="zh-CN"/>
          <w14:textFill>
            <w14:solidFill>
              <w14:schemeClr w14:val="tx1"/>
            </w14:solidFill>
          </w14:textFill>
        </w:rPr>
        <w:t>的售电公司</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企业代码：</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olor w:val="000000" w:themeColor="text1"/>
          <w:sz w:val="28"/>
          <w:szCs w:val="28"/>
          <w:highlight w:val="none"/>
          <w:u w:val="none"/>
          <w:lang w:val="en-US" w:eastAsia="zh-CN"/>
          <w14:textFill>
            <w14:solidFill>
              <w14:schemeClr w14:val="tx1"/>
            </w14:solidFill>
          </w14:textFill>
        </w:rPr>
        <w:t>，</w:t>
      </w:r>
      <w:r>
        <w:rPr>
          <w:rFonts w:hint="default" w:asciiTheme="minorEastAsia" w:hAnsiTheme="minorEastAsia" w:eastAsiaTheme="minorEastAsia"/>
          <w:color w:val="000000" w:themeColor="text1"/>
          <w:sz w:val="28"/>
          <w:szCs w:val="28"/>
          <w:highlight w:val="none"/>
          <w14:textFill>
            <w14:solidFill>
              <w14:schemeClr w14:val="tx1"/>
            </w14:solidFill>
          </w14:textFill>
        </w:rPr>
        <w:t>企业所在地为</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asciiTheme="minorEastAsia" w:hAnsiTheme="minorEastAsia" w:eastAsiaTheme="minorEastAsia"/>
          <w:color w:val="000000" w:themeColor="text1"/>
          <w:sz w:val="28"/>
          <w:szCs w:val="28"/>
          <w:highlight w:val="none"/>
          <w14:textFill>
            <w14:solidFill>
              <w14:schemeClr w14:val="tx1"/>
            </w14:solidFill>
          </w14:textFill>
        </w:rPr>
        <w:t>在</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工商行政管理局登记注册，</w:t>
      </w:r>
      <w:r>
        <w:rPr>
          <w:rFonts w:hint="eastAsia" w:asciiTheme="minorEastAsia" w:hAnsiTheme="minorEastAsia" w:eastAsiaTheme="minorEastAsia"/>
          <w:color w:val="000000" w:themeColor="text1"/>
          <w:sz w:val="28"/>
          <w:szCs w:val="28"/>
          <w:highlight w:val="none"/>
          <w14:textFill>
            <w14:solidFill>
              <w14:schemeClr w14:val="tx1"/>
            </w14:solidFill>
          </w14:textFill>
        </w:rPr>
        <w:t>已按相关法规要求完成“一注册、一承诺、一公示、三备案”流程，按规定履行交易信用保证，具备售电资格，</w:t>
      </w:r>
      <w:r>
        <w:rPr>
          <w:rFonts w:asciiTheme="minorEastAsia" w:hAnsiTheme="minorEastAsia" w:eastAsiaTheme="minorEastAsia"/>
          <w:color w:val="000000" w:themeColor="text1"/>
          <w:sz w:val="28"/>
          <w:szCs w:val="28"/>
          <w:highlight w:val="none"/>
          <w14:textFill>
            <w14:solidFill>
              <w14:schemeClr w14:val="tx1"/>
            </w14:solidFill>
          </w14:textFill>
        </w:rPr>
        <w:t>统一社会信用代码（</w:t>
      </w:r>
      <w:r>
        <w:rPr>
          <w:rFonts w:hint="eastAsia" w:asciiTheme="minorEastAsia" w:hAnsiTheme="minorEastAsia" w:eastAsiaTheme="minorEastAsia"/>
          <w:color w:val="000000" w:themeColor="text1"/>
          <w:sz w:val="28"/>
          <w:szCs w:val="28"/>
          <w:highlight w:val="none"/>
          <w14:textFill>
            <w14:solidFill>
              <w14:schemeClr w14:val="tx1"/>
            </w14:solidFill>
          </w14:textFill>
        </w:rPr>
        <w:t>组织机构代码</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，法定代表人（企业负责人）：</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hint="eastAsia" w:ascii="宋体" w:hAnsi="宋体"/>
          <w:color w:val="000000" w:themeColor="text1"/>
          <w:sz w:val="28"/>
          <w:szCs w:val="28"/>
          <w:highlight w:val="none"/>
          <w:u w:val="none"/>
          <w14:textFill>
            <w14:solidFill>
              <w14:schemeClr w14:val="tx1"/>
            </w14:solidFill>
          </w14:textFill>
        </w:rPr>
        <w:t>身份证号码：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pStyle w:val="2"/>
        <w:spacing w:line="382" w:lineRule="exact"/>
        <w:ind w:left="527"/>
        <w:jc w:val="both"/>
        <w:outlineLvl w:val="0"/>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15" w:name="_Toc10003"/>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联络通讯信息：</w:t>
      </w:r>
      <w:bookmarkEnd w:id="15"/>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4729" w:leftChars="252" w:right="0" w:hanging="4200" w:hangingChars="1500"/>
        <w:jc w:val="both"/>
        <w:textAlignment w:val="auto"/>
        <w:outlineLvl w:val="9"/>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pPr>
      <w:bookmarkStart w:id="16" w:name="_Toc11782"/>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联系人：</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电子邮箱：</w:t>
      </w:r>
      <w:bookmarkEnd w:id="16"/>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right="0"/>
        <w:jc w:val="both"/>
        <w:textAlignment w:val="auto"/>
        <w:outlineLvl w:val="9"/>
        <w:rPr>
          <w:rFonts w:ascii="Times New Roman" w:eastAsia="Times New Roman"/>
          <w:b w:val="0"/>
          <w:bCs w:val="0"/>
          <w:color w:val="000000" w:themeColor="text1"/>
          <w:highlight w:val="none"/>
          <w14:textFill>
            <w14:solidFill>
              <w14:schemeClr w14:val="tx1"/>
            </w14:solidFill>
          </w14:textFill>
        </w:rPr>
      </w:pPr>
      <w:bookmarkStart w:id="17" w:name="_Toc24972"/>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电话</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联</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系</w:t>
      </w:r>
      <w:r>
        <w:rPr>
          <w:rFonts w:hint="eastAsia" w:asciiTheme="minorEastAsia" w:hAnsiTheme="minorEastAsia" w:eastAsiaTheme="minorEastAsia" w:cstheme="minorEastAsia"/>
          <w:b w:val="0"/>
          <w:bCs w:val="0"/>
          <w:color w:val="000000" w:themeColor="text1"/>
          <w:spacing w:val="-145"/>
          <w:sz w:val="28"/>
          <w:szCs w:val="28"/>
          <w:highlight w:val="non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地址</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w:t>
      </w:r>
      <w:bookmarkEnd w:id="17"/>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p>
    <w:p>
      <w:pPr>
        <w:pStyle w:val="14"/>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rPr>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甲乙</w:t>
      </w:r>
      <w:r>
        <w:rPr>
          <w:rFonts w:hint="eastAsia" w:asciiTheme="minorEastAsia" w:hAnsiTheme="minorEastAsia" w:eastAsiaTheme="minorEastAsia"/>
          <w:color w:val="000000" w:themeColor="text1"/>
          <w:sz w:val="28"/>
          <w:szCs w:val="28"/>
          <w:highlight w:val="none"/>
          <w14:textFill>
            <w14:solidFill>
              <w14:schemeClr w14:val="tx1"/>
            </w14:solidFill>
          </w14:textFill>
        </w:rPr>
        <w:t>双方根据国家有关法律、法规，按照</w:t>
      </w:r>
      <w:r>
        <w:rPr>
          <w:rFonts w:hint="eastAsia" w:asciiTheme="minorEastAsia" w:hAnsiTheme="minorEastAsia" w:eastAsiaTheme="minorEastAsia"/>
          <w:color w:val="000000" w:themeColor="text1"/>
          <w:sz w:val="28"/>
          <w:szCs w:val="28"/>
          <w:highlight w:val="none"/>
          <w:lang w:eastAsia="zh-CN"/>
          <w14:textFill>
            <w14:solidFill>
              <w14:schemeClr w14:val="tx1"/>
            </w14:solidFill>
          </w14:textFill>
        </w:rPr>
        <w:t>绿电交易规则方案</w:t>
      </w:r>
      <w:r>
        <w:rPr>
          <w:rFonts w:hint="eastAsia" w:asciiTheme="minorEastAsia" w:hAnsiTheme="minorEastAsia" w:eastAsiaTheme="minorEastAsia"/>
          <w:color w:val="000000" w:themeColor="text1"/>
          <w:sz w:val="28"/>
          <w:szCs w:val="28"/>
          <w:highlight w:val="none"/>
          <w14:textFill>
            <w14:solidFill>
              <w14:schemeClr w14:val="tx1"/>
            </w14:solidFill>
          </w14:textFill>
        </w:rPr>
        <w:t>、年度市场化交易实施方案以及交易公告等，本着平等、自愿</w:t>
      </w:r>
      <w:r>
        <w:rPr>
          <w:rFonts w:asciiTheme="minorEastAsia" w:hAnsiTheme="minorEastAsia" w:eastAsiaTheme="minorEastAsia"/>
          <w:color w:val="000000" w:themeColor="text1"/>
          <w:sz w:val="28"/>
          <w:szCs w:val="28"/>
          <w:highlight w:val="none"/>
          <w14:textFill>
            <w14:solidFill>
              <w14:schemeClr w14:val="tx1"/>
            </w14:solidFill>
          </w14:textFill>
        </w:rPr>
        <w:t>、公平和</w:t>
      </w:r>
      <w:r>
        <w:rPr>
          <w:rFonts w:hint="eastAsia" w:asciiTheme="minorEastAsia" w:hAnsiTheme="minorEastAsia" w:eastAsiaTheme="minorEastAsia"/>
          <w:color w:val="000000" w:themeColor="text1"/>
          <w:sz w:val="28"/>
          <w:szCs w:val="28"/>
          <w:highlight w:val="none"/>
          <w14:textFill>
            <w14:solidFill>
              <w14:schemeClr w14:val="tx1"/>
            </w14:solidFill>
          </w14:textFill>
        </w:rPr>
        <w:t>诚信的原则，经协商一致，签订</w:t>
      </w:r>
      <w:r>
        <w:rPr>
          <w:rFonts w:hint="eastAsia" w:asciiTheme="minorEastAsia" w:hAnsiTheme="minorEastAsia"/>
          <w:color w:val="000000" w:themeColor="text1"/>
          <w:sz w:val="28"/>
          <w:szCs w:val="28"/>
          <w:highlight w:val="none"/>
          <w:lang w:val="en-US" w:eastAsia="zh-CN"/>
          <w14:textFill>
            <w14:solidFill>
              <w14:schemeClr w14:val="tx1"/>
            </w14:solidFill>
          </w14:textFill>
        </w:rPr>
        <w:t>广西绿色电力交易零售服务</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合同（以下简称</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18" w:name="_Toc13336_WPSOffice_Level1"/>
      <w:bookmarkStart w:id="19" w:name="_Toc16076"/>
      <w:r>
        <w:rPr>
          <w:rFonts w:hint="eastAsia" w:ascii="黑体" w:hAnsi="黑体" w:eastAsia="黑体" w:cs="黑体"/>
          <w:color w:val="000000" w:themeColor="text1"/>
          <w:sz w:val="30"/>
          <w:szCs w:val="30"/>
          <w:highlight w:val="none"/>
          <w14:textFill>
            <w14:solidFill>
              <w14:schemeClr w14:val="tx1"/>
            </w14:solidFill>
          </w14:textFill>
        </w:rPr>
        <w:t>第1章　</w:t>
      </w:r>
      <w:bookmarkEnd w:id="0"/>
      <w:r>
        <w:rPr>
          <w:rFonts w:hint="eastAsia" w:ascii="黑体" w:hAnsi="黑体" w:eastAsia="黑体" w:cs="黑体"/>
          <w:color w:val="000000" w:themeColor="text1"/>
          <w:sz w:val="30"/>
          <w:szCs w:val="30"/>
          <w:highlight w:val="none"/>
          <w14:textFill>
            <w14:solidFill>
              <w14:schemeClr w14:val="tx1"/>
            </w14:solidFill>
          </w14:textFill>
        </w:rPr>
        <w:t>定义和说明</w:t>
      </w:r>
      <w:bookmarkEnd w:id="1"/>
      <w:bookmarkEnd w:id="2"/>
      <w:bookmarkEnd w:id="18"/>
      <w:bookmarkEnd w:id="19"/>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1.1定义</w:t>
      </w:r>
    </w:p>
    <w:p>
      <w:pPr>
        <w:ind w:firstLine="560"/>
        <w:rPr>
          <w:rFonts w:hint="eastAsia" w:asciiTheme="minorEastAsia" w:hAnsiTheme="minorEastAsia"/>
          <w:color w:val="000000" w:themeColor="text1"/>
          <w:sz w:val="28"/>
          <w:szCs w:val="28"/>
          <w:highlight w:val="none"/>
          <w:lang w:eastAsia="zh-CN"/>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1.1.1</w:t>
      </w:r>
      <w:r>
        <w:rPr>
          <w:rFonts w:hint="eastAsia" w:asciiTheme="minorEastAsia" w:hAnsiTheme="minorEastAsia"/>
          <w:color w:val="000000" w:themeColor="text1"/>
          <w:sz w:val="28"/>
          <w:szCs w:val="28"/>
          <w:highlight w:val="none"/>
          <w:lang w:eastAsia="zh-CN"/>
          <w14:textFill>
            <w14:solidFill>
              <w14:schemeClr w14:val="tx1"/>
            </w14:solidFill>
          </w14:textFill>
        </w:rPr>
        <w:t>绿电交易：指</w:t>
      </w:r>
      <w:r>
        <w:rPr>
          <w:rFonts w:hint="eastAsia" w:asciiTheme="minorEastAsia" w:hAnsiTheme="minorEastAsia"/>
          <w:color w:val="000000" w:themeColor="text1"/>
          <w:sz w:val="28"/>
          <w:szCs w:val="28"/>
          <w:highlight w:val="none"/>
          <w14:textFill>
            <w14:solidFill>
              <w14:schemeClr w14:val="tx1"/>
            </w14:solidFill>
          </w14:textFill>
        </w:rPr>
        <w:t>电力用户或售电公司与绿色电力发电企业依据规则同步开展电力中长期交易和绿证认购交易的过程。在绿色电力供应范围内，电力用户与绿色电力发电企业建立认购关系，选择通过电网企业供电或代理购电的方式获得绿色电力，属于绿色电力交易范畴。</w:t>
      </w:r>
    </w:p>
    <w:p>
      <w:pPr>
        <w:ind w:firstLine="560"/>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1.1.2绿色电力交易价格：指根据绿电交易规则，通过市场化交易方式形成的交易价格。</w:t>
      </w:r>
    </w:p>
    <w:p>
      <w:pPr>
        <w:ind w:firstLine="560"/>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1.1.3</w:t>
      </w:r>
      <w:r>
        <w:rPr>
          <w:rFonts w:hint="eastAsia" w:asciiTheme="minorEastAsia" w:hAnsiTheme="minorEastAsia"/>
          <w:color w:val="000000" w:themeColor="text1"/>
          <w:sz w:val="28"/>
          <w:szCs w:val="28"/>
          <w:highlight w:val="none"/>
          <w:lang w:eastAsia="zh-CN"/>
          <w14:textFill>
            <w14:solidFill>
              <w14:schemeClr w14:val="tx1"/>
            </w14:solidFill>
          </w14:textFill>
        </w:rPr>
        <w:t>电力零售交易：是指售电公司与电力用户之间进行的购售电交易活动。</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1.1.4</w:t>
      </w:r>
      <w:r>
        <w:rPr>
          <w:rFonts w:asciiTheme="minorEastAsia" w:hAnsiTheme="minorEastAsia" w:eastAsiaTheme="minorEastAsia"/>
          <w:color w:val="000000" w:themeColor="text1"/>
          <w:sz w:val="28"/>
          <w:szCs w:val="28"/>
          <w:highlight w:val="none"/>
          <w14:textFill>
            <w14:solidFill>
              <w14:schemeClr w14:val="tx1"/>
            </w14:solidFill>
          </w14:textFill>
        </w:rPr>
        <w:t>计量点：指</w:t>
      </w:r>
      <w:r>
        <w:rPr>
          <w:rFonts w:hint="eastAsia" w:asciiTheme="minorEastAsia" w:hAnsiTheme="minorEastAsia"/>
          <w:color w:val="000000" w:themeColor="text1"/>
          <w:sz w:val="28"/>
          <w:szCs w:val="28"/>
          <w:highlight w:val="none"/>
          <w:lang w:eastAsia="zh-CN"/>
          <w14:textFill>
            <w14:solidFill>
              <w14:schemeClr w14:val="tx1"/>
            </w14:solidFill>
          </w14:textFill>
        </w:rPr>
        <w:t>本合同涉及的用户侧计量点，以</w:t>
      </w:r>
      <w:r>
        <w:rPr>
          <w:rFonts w:hint="eastAsia" w:asciiTheme="minorEastAsia" w:hAnsiTheme="minorEastAsia"/>
          <w:color w:val="000000" w:themeColor="text1"/>
          <w:sz w:val="28"/>
          <w:szCs w:val="28"/>
          <w:highlight w:val="none"/>
          <w:lang w:val="en-US" w:eastAsia="zh-CN"/>
          <w14:textFill>
            <w14:solidFill>
              <w14:schemeClr w14:val="tx1"/>
            </w14:solidFill>
          </w14:textFill>
        </w:rPr>
        <w:t>甲方</w:t>
      </w:r>
      <w:r>
        <w:rPr>
          <w:rFonts w:hint="eastAsia" w:asciiTheme="minorEastAsia" w:hAnsiTheme="minorEastAsia"/>
          <w:color w:val="000000" w:themeColor="text1"/>
          <w:sz w:val="28"/>
          <w:szCs w:val="28"/>
          <w:highlight w:val="none"/>
          <w:lang w:eastAsia="zh-CN"/>
          <w14:textFill>
            <w14:solidFill>
              <w14:schemeClr w14:val="tx1"/>
            </w14:solidFill>
          </w14:textFill>
        </w:rPr>
        <w:t>与电网企业在《供用电合同》中约定</w:t>
      </w:r>
      <w:r>
        <w:rPr>
          <w:rFonts w:asciiTheme="minorEastAsia" w:hAnsiTheme="minorEastAsia" w:eastAsiaTheme="minorEastAsia"/>
          <w:color w:val="000000" w:themeColor="text1"/>
          <w:sz w:val="28"/>
          <w:szCs w:val="28"/>
          <w:highlight w:val="none"/>
          <w14:textFill>
            <w14:solidFill>
              <w14:schemeClr w14:val="tx1"/>
            </w14:solidFill>
          </w14:textFill>
        </w:rPr>
        <w:t>的电能计量装置关口表安装位置</w:t>
      </w:r>
      <w:r>
        <w:rPr>
          <w:rFonts w:hint="eastAsia" w:asciiTheme="minorEastAsia" w:hAnsiTheme="minorEastAsia"/>
          <w:color w:val="000000" w:themeColor="text1"/>
          <w:sz w:val="28"/>
          <w:szCs w:val="28"/>
          <w:highlight w:val="none"/>
          <w:lang w:eastAsia="zh-CN"/>
          <w14:textFill>
            <w14:solidFill>
              <w14:schemeClr w14:val="tx1"/>
            </w14:solidFill>
          </w14:textFill>
        </w:rPr>
        <w:t>为准</w:t>
      </w:r>
      <w:r>
        <w:rPr>
          <w:rFonts w:asciiTheme="minorEastAsia" w:hAnsiTheme="minorEastAsia" w:eastAsiaTheme="minorEastAsia"/>
          <w:color w:val="000000" w:themeColor="text1"/>
          <w:sz w:val="28"/>
          <w:szCs w:val="28"/>
          <w:highlight w:val="none"/>
          <w14:textFill>
            <w14:solidFill>
              <w14:schemeClr w14:val="tx1"/>
            </w14:solidFill>
          </w14:textFill>
        </w:rPr>
        <w:t>。</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1.1.</w:t>
      </w:r>
      <w:r>
        <w:rPr>
          <w:rFonts w:hint="eastAsia" w:asciiTheme="minorEastAsia" w:hAnsiTheme="minorEastAsia"/>
          <w:color w:val="000000" w:themeColor="text1"/>
          <w:sz w:val="28"/>
          <w:szCs w:val="28"/>
          <w:highlight w:val="none"/>
          <w:lang w:val="en-US" w:eastAsia="zh-CN"/>
          <w14:textFill>
            <w14:solidFill>
              <w14:schemeClr w14:val="tx1"/>
            </w14:solidFill>
          </w14:textFill>
        </w:rPr>
        <w:t>5</w:t>
      </w:r>
      <w:r>
        <w:rPr>
          <w:rFonts w:asciiTheme="minorEastAsia" w:hAnsiTheme="minorEastAsia" w:eastAsiaTheme="minorEastAsia"/>
          <w:color w:val="000000" w:themeColor="text1"/>
          <w:sz w:val="28"/>
          <w:szCs w:val="28"/>
          <w:highlight w:val="none"/>
          <w14:textFill>
            <w14:solidFill>
              <w14:schemeClr w14:val="tx1"/>
            </w14:solidFill>
          </w14:textFill>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1.1.</w:t>
      </w:r>
      <w:r>
        <w:rPr>
          <w:rFonts w:hint="eastAsia" w:asciiTheme="minorEastAsia" w:hAnsiTheme="minorEastAsia"/>
          <w:color w:val="000000" w:themeColor="text1"/>
          <w:sz w:val="28"/>
          <w:szCs w:val="28"/>
          <w:highlight w:val="none"/>
          <w:lang w:val="en-US" w:eastAsia="zh-CN"/>
          <w14:textFill>
            <w14:solidFill>
              <w14:schemeClr w14:val="tx1"/>
            </w14:solidFill>
          </w14:textFill>
        </w:rPr>
        <w:t>6</w:t>
      </w:r>
      <w:r>
        <w:rPr>
          <w:rFonts w:hint="eastAsia" w:asciiTheme="minorEastAsia" w:hAnsiTheme="minorEastAsia"/>
          <w:color w:val="000000" w:themeColor="text1"/>
          <w:sz w:val="28"/>
          <w:szCs w:val="28"/>
          <w:highlight w:val="none"/>
          <w14:textFill>
            <w14:solidFill>
              <w14:schemeClr w14:val="tx1"/>
            </w14:solidFill>
          </w14:textFill>
        </w:rPr>
        <w:t>工作日：指除星期六、星期日及法定节假日以外的公历日。</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1.1.7</w:t>
      </w:r>
      <w:r>
        <w:rPr>
          <w:rFonts w:asciiTheme="minorEastAsia" w:hAnsiTheme="minorEastAsia" w:eastAsiaTheme="minorEastAsia"/>
          <w:color w:val="000000" w:themeColor="text1"/>
          <w:sz w:val="28"/>
          <w:szCs w:val="28"/>
          <w:highlight w:val="none"/>
          <w14:textFill>
            <w14:solidFill>
              <w14:schemeClr w14:val="tx1"/>
            </w14:solidFill>
          </w14:textFill>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color w:val="000000" w:themeColor="text1"/>
          <w:sz w:val="28"/>
          <w:szCs w:val="28"/>
          <w:highlight w:val="none"/>
          <w:lang w:eastAsia="zh-CN"/>
          <w14:textFill>
            <w14:solidFill>
              <w14:schemeClr w14:val="tx1"/>
            </w14:solidFill>
          </w14:textFill>
        </w:rPr>
        <w:t>等，电力市场技术支持相关系统发生重大故障、政府行为</w:t>
      </w:r>
      <w:r>
        <w:rPr>
          <w:rFonts w:asciiTheme="minorEastAsia" w:hAnsiTheme="minorEastAsia" w:eastAsiaTheme="minorEastAsia"/>
          <w:color w:val="000000" w:themeColor="text1"/>
          <w:sz w:val="28"/>
          <w:szCs w:val="28"/>
          <w:highlight w:val="none"/>
          <w14:textFill>
            <w14:solidFill>
              <w14:schemeClr w14:val="tx1"/>
            </w14:solidFill>
          </w14:textFill>
        </w:rPr>
        <w:t>以及核辐射、战争、瘟疫、骚乱等。</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1.1.8电力</w:t>
      </w:r>
      <w:r>
        <w:rPr>
          <w:rFonts w:asciiTheme="minorEastAsia" w:hAnsiTheme="minorEastAsia" w:eastAsiaTheme="minorEastAsia"/>
          <w:color w:val="000000" w:themeColor="text1"/>
          <w:sz w:val="28"/>
          <w:szCs w:val="28"/>
          <w:highlight w:val="none"/>
          <w14:textFill>
            <w14:solidFill>
              <w14:schemeClr w14:val="tx1"/>
            </w14:solidFill>
          </w14:textFill>
        </w:rPr>
        <w:t>交易中心：指广</w:t>
      </w:r>
      <w:r>
        <w:rPr>
          <w:rFonts w:hint="eastAsia" w:asciiTheme="minorEastAsia" w:hAnsiTheme="minorEastAsia"/>
          <w:color w:val="000000" w:themeColor="text1"/>
          <w:sz w:val="28"/>
          <w:szCs w:val="28"/>
          <w:highlight w:val="none"/>
          <w:lang w:val="en-US" w:eastAsia="zh-CN"/>
          <w14:textFill>
            <w14:solidFill>
              <w14:schemeClr w14:val="tx1"/>
            </w14:solidFill>
          </w14:textFill>
        </w:rPr>
        <w:t>西</w:t>
      </w:r>
      <w:r>
        <w:rPr>
          <w:rFonts w:asciiTheme="minorEastAsia" w:hAnsiTheme="minorEastAsia" w:eastAsiaTheme="minorEastAsia"/>
          <w:color w:val="000000" w:themeColor="text1"/>
          <w:sz w:val="28"/>
          <w:szCs w:val="28"/>
          <w:highlight w:val="none"/>
          <w14:textFill>
            <w14:solidFill>
              <w14:schemeClr w14:val="tx1"/>
            </w14:solidFill>
          </w14:textFill>
        </w:rPr>
        <w:t>电力交易中心有限责任公司。</w:t>
      </w:r>
    </w:p>
    <w:p>
      <w:pPr>
        <w:ind w:firstLine="560"/>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t>1.1.</w:t>
      </w:r>
      <w:r>
        <w:rPr>
          <w:rFonts w:hint="eastAsia" w:cs="Times New Roman" w:asciiTheme="minorEastAsia" w:hAnsiTheme="minorEastAsia"/>
          <w:color w:val="000000" w:themeColor="text1"/>
          <w:sz w:val="28"/>
          <w:szCs w:val="28"/>
          <w:lang w:val="en-US" w:eastAsia="zh-CN"/>
          <w14:textFill>
            <w14:solidFill>
              <w14:schemeClr w14:val="tx1"/>
            </w14:solidFill>
          </w14:textFill>
        </w:rPr>
        <w:t>9</w:t>
      </w:r>
      <w:r>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t>电力调度机构：本合同特指广西电网有限责任公司电力调度控制中心。</w:t>
      </w:r>
    </w:p>
    <w:p>
      <w:pPr>
        <w:ind w:firstLine="560" w:firstLineChars="200"/>
        <w:rPr>
          <w:rFonts w:hint="eastAsia"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1.1.</w:t>
      </w:r>
      <w:r>
        <w:rPr>
          <w:rFonts w:hint="eastAsia" w:asciiTheme="minorEastAsia" w:hAnsiTheme="minorEastAsia"/>
          <w:color w:val="000000" w:themeColor="text1"/>
          <w:sz w:val="28"/>
          <w:szCs w:val="28"/>
          <w:lang w:val="en-US" w:eastAsia="zh-CN"/>
          <w14:textFill>
            <w14:solidFill>
              <w14:schemeClr w14:val="tx1"/>
            </w14:solidFill>
          </w14:textFill>
        </w:rPr>
        <w:t>10</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电网企业：指省级电网（含广西电网有限责任公司、广西新电力投资集团有限责任公司）、广西能源股份有限公司等其他电网企业及增量配电网。</w:t>
      </w:r>
    </w:p>
    <w:p>
      <w:pPr>
        <w:ind w:firstLine="560" w:firstLineChars="200"/>
      </w:pPr>
      <w:r>
        <w:rPr>
          <w:rFonts w:hint="eastAsia" w:cs="Times New Roman" w:asciiTheme="minorEastAsia" w:hAnsiTheme="minorEastAsia" w:eastAsiaTheme="minorEastAsia"/>
          <w:sz w:val="28"/>
          <w:szCs w:val="28"/>
          <w:lang w:val="en-US" w:eastAsia="zh-CN"/>
        </w:rPr>
        <w:t>1.1.</w:t>
      </w:r>
      <w:r>
        <w:rPr>
          <w:rFonts w:hint="eastAsia" w:cs="Times New Roman" w:asciiTheme="minorEastAsia" w:hAnsiTheme="minorEastAsia"/>
          <w:sz w:val="28"/>
          <w:szCs w:val="28"/>
          <w:lang w:val="en-US" w:eastAsia="zh-CN"/>
        </w:rPr>
        <w:t>11</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eastAsiaTheme="minorEastAsia"/>
          <w:color w:val="000000" w:themeColor="text1"/>
          <w:sz w:val="28"/>
          <w:szCs w:val="28"/>
          <w:highlight w:val="none"/>
          <w14:textFill>
            <w14:solidFill>
              <w14:schemeClr w14:val="tx1"/>
            </w14:solidFill>
          </w14:textFill>
        </w:rPr>
        <w:t>说明</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1.2.1本合同中的标题仅为阅读方便，不应被视为本合同的组成部分，亦不应以任何方式影响对本合同的解释。</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1.2.2</w:t>
      </w:r>
      <w:r>
        <w:rPr>
          <w:rFonts w:asciiTheme="minorEastAsia" w:hAnsiTheme="minorEastAsia" w:eastAsiaTheme="minorEastAsia"/>
          <w:color w:val="000000" w:themeColor="text1"/>
          <w:sz w:val="28"/>
          <w:szCs w:val="28"/>
          <w:highlight w:val="none"/>
          <w14:textFill>
            <w14:solidFill>
              <w14:schemeClr w14:val="tx1"/>
            </w14:solidFill>
          </w14:textFill>
        </w:rPr>
        <w:t>本合同</w:t>
      </w:r>
      <w:r>
        <w:rPr>
          <w:rFonts w:hint="eastAsia" w:asciiTheme="minorEastAsia" w:hAnsiTheme="minorEastAsia"/>
          <w:color w:val="000000" w:themeColor="text1"/>
          <w:sz w:val="28"/>
          <w:szCs w:val="28"/>
          <w:highlight w:val="none"/>
          <w:lang w:val="en-US" w:eastAsia="zh-CN"/>
          <w14:textFill>
            <w14:solidFill>
              <w14:schemeClr w14:val="tx1"/>
            </w14:solidFill>
          </w14:textFill>
        </w:rPr>
        <w:t>附录</w:t>
      </w:r>
      <w:r>
        <w:rPr>
          <w:rFonts w:asciiTheme="minorEastAsia" w:hAnsiTheme="minorEastAsia" w:eastAsiaTheme="minorEastAsia"/>
          <w:color w:val="000000" w:themeColor="text1"/>
          <w:sz w:val="28"/>
          <w:szCs w:val="28"/>
          <w:highlight w:val="none"/>
          <w14:textFill>
            <w14:solidFill>
              <w14:schemeClr w14:val="tx1"/>
            </w14:solidFill>
          </w14:textFill>
        </w:rPr>
        <w:t>与正文具有同等的法律效力。</w:t>
      </w:r>
    </w:p>
    <w:p>
      <w:pPr>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asciiTheme="minorEastAsia" w:hAnsiTheme="minorEastAsia" w:eastAsiaTheme="minorEastAsia"/>
          <w:color w:val="000000" w:themeColor="text1"/>
          <w:sz w:val="28"/>
          <w:szCs w:val="28"/>
          <w:highlight w:val="none"/>
          <w14:textFill>
            <w14:solidFill>
              <w14:schemeClr w14:val="tx1"/>
            </w14:solidFill>
          </w14:textFill>
        </w:rPr>
        <w:t>本合同对</w:t>
      </w:r>
      <w:r>
        <w:rPr>
          <w:rFonts w:hint="eastAsia" w:asciiTheme="minorEastAsia" w:hAnsiTheme="minorEastAsia"/>
          <w:color w:val="000000" w:themeColor="text1"/>
          <w:sz w:val="28"/>
          <w:szCs w:val="28"/>
          <w:highlight w:val="none"/>
          <w:lang w:eastAsia="zh-CN"/>
          <w14:textFill>
            <w14:solidFill>
              <w14:schemeClr w14:val="tx1"/>
            </w14:solidFill>
          </w14:textFill>
        </w:rPr>
        <w:t>任一方</w:t>
      </w:r>
      <w:r>
        <w:rPr>
          <w:rFonts w:asciiTheme="minorEastAsia" w:hAnsiTheme="minorEastAsia" w:eastAsiaTheme="minorEastAsia"/>
          <w:color w:val="000000" w:themeColor="text1"/>
          <w:sz w:val="28"/>
          <w:szCs w:val="28"/>
          <w:highlight w:val="none"/>
          <w14:textFill>
            <w14:solidFill>
              <w14:schemeClr w14:val="tx1"/>
            </w14:solidFill>
          </w14:textFill>
        </w:rPr>
        <w:t>的合法承继者或受让人具有约束力。</w:t>
      </w:r>
      <w:r>
        <w:rPr>
          <w:rFonts w:asciiTheme="minorEastAsia" w:hAnsiTheme="minorEastAsia" w:eastAsiaTheme="minorEastAsia"/>
          <w:color w:val="000000" w:themeColor="text1"/>
          <w:sz w:val="28"/>
          <w:szCs w:val="28"/>
          <w14:textFill>
            <w14:solidFill>
              <w14:schemeClr w14:val="tx1"/>
            </w14:solidFill>
          </w14:textFill>
        </w:rPr>
        <w:t>但</w:t>
      </w:r>
      <w:r>
        <w:rPr>
          <w:rFonts w:hint="eastAsia" w:asciiTheme="minorEastAsia" w:hAnsiTheme="minorEastAsia" w:eastAsiaTheme="minorEastAsia"/>
          <w:color w:val="000000" w:themeColor="text1"/>
          <w:sz w:val="28"/>
          <w:szCs w:val="28"/>
          <w:lang w:eastAsia="zh-CN"/>
          <w14:textFill>
            <w14:solidFill>
              <w14:schemeClr w14:val="tx1"/>
            </w14:solidFill>
          </w14:textFill>
        </w:rPr>
        <w:t>国家及</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广西电力市场有关政策、交易规则以及政策制度文件另有规定或本合同</w:t>
      </w:r>
      <w:r>
        <w:rPr>
          <w:rFonts w:asciiTheme="minorEastAsia" w:hAnsiTheme="minorEastAsia" w:eastAsiaTheme="minorEastAsia"/>
          <w:color w:val="000000" w:themeColor="text1"/>
          <w:sz w:val="28"/>
          <w:szCs w:val="28"/>
          <w14:textFill>
            <w14:solidFill>
              <w14:schemeClr w14:val="tx1"/>
            </w14:solidFill>
          </w14:textFill>
        </w:rPr>
        <w:t>当事人另有约定的除外。</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遇有本款约定的情形时，相关义务人应当依法履行必要的通知义务及完备的法律手续。</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1.2.</w:t>
      </w:r>
      <w:r>
        <w:rPr>
          <w:rFonts w:hint="eastAsia" w:asciiTheme="minorEastAsia" w:hAnsiTheme="minorEastAsia"/>
          <w:color w:val="000000" w:themeColor="text1"/>
          <w:sz w:val="28"/>
          <w:szCs w:val="28"/>
          <w:highlight w:val="none"/>
          <w:lang w:val="en-US" w:eastAsia="zh-CN"/>
          <w14:textFill>
            <w14:solidFill>
              <w14:schemeClr w14:val="tx1"/>
            </w14:solidFill>
          </w14:textFill>
        </w:rPr>
        <w:t>4</w:t>
      </w:r>
      <w:r>
        <w:rPr>
          <w:rFonts w:asciiTheme="minorEastAsia" w:hAnsiTheme="minorEastAsia" w:eastAsiaTheme="minorEastAsia"/>
          <w:color w:val="000000" w:themeColor="text1"/>
          <w:sz w:val="28"/>
          <w:szCs w:val="28"/>
          <w:highlight w:val="none"/>
          <w14:textFill>
            <w14:solidFill>
              <w14:schemeClr w14:val="tx1"/>
            </w14:solidFill>
          </w14:textFill>
        </w:rPr>
        <w:t>除上下文另有要求外，本合同所指日、月、年均为公历日、月、年。</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sz w:val="28"/>
          <w:szCs w:val="28"/>
          <w:lang w:val="en-US" w:eastAsia="zh-CN"/>
        </w:rPr>
        <w:t>5</w:t>
      </w:r>
      <w:r>
        <w:rPr>
          <w:rFonts w:hint="default" w:asciiTheme="minorEastAsia" w:hAnsiTheme="minorEastAsia" w:eastAsiaTheme="minorEastAsia"/>
          <w:sz w:val="28"/>
          <w:szCs w:val="28"/>
          <w:lang w:val="en-US" w:eastAsia="zh-CN"/>
        </w:rPr>
        <w:t>对于本文本中所涉及的相关条款约定技术条件，如国家、国务院、政府主管部门或能源监管机构颁布新的法律、法规、规章及其他规范性文件，合同各方应遵从其规定。</w:t>
      </w:r>
      <w:r>
        <w:rPr>
          <w:rFonts w:asciiTheme="minorEastAsia" w:hAnsiTheme="minorEastAsia" w:eastAsiaTheme="minorEastAsia"/>
          <w:sz w:val="28"/>
          <w:szCs w:val="28"/>
        </w:rPr>
        <w:t>　</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color w:val="000000" w:themeColor="text1"/>
          <w:sz w:val="28"/>
          <w:szCs w:val="28"/>
          <w:highlight w:val="none"/>
          <w:lang w:val="en-US" w:eastAsia="zh-CN"/>
          <w14:textFill>
            <w14:solidFill>
              <w14:schemeClr w14:val="tx1"/>
            </w14:solidFill>
          </w14:textFill>
        </w:rPr>
        <w:t>6</w:t>
      </w:r>
      <w:r>
        <w:rPr>
          <w:rFonts w:asciiTheme="minorEastAsia" w:hAnsiTheme="minorEastAsia" w:eastAsiaTheme="minorEastAsia"/>
          <w:color w:val="000000" w:themeColor="text1"/>
          <w:sz w:val="28"/>
          <w:szCs w:val="28"/>
          <w:highlight w:val="none"/>
          <w14:textFill>
            <w14:solidFill>
              <w14:schemeClr w14:val="tx1"/>
            </w14:solidFill>
          </w14:textFill>
        </w:rPr>
        <w:t>合同中的“包括”一词指：包括但不限于。</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20" w:name="_Toc32217"/>
      <w:bookmarkStart w:id="21" w:name="_Toc3271"/>
      <w:bookmarkStart w:id="22" w:name="_Toc18406_WPSOffice_Level1"/>
      <w:bookmarkStart w:id="23" w:name="_Toc4667"/>
      <w:bookmarkStart w:id="24" w:name="_Toc16308"/>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2</w:t>
      </w:r>
      <w:r>
        <w:rPr>
          <w:rFonts w:hint="eastAsia" w:ascii="黑体" w:hAnsi="黑体" w:eastAsia="黑体" w:cs="黑体"/>
          <w:color w:val="000000" w:themeColor="text1"/>
          <w:sz w:val="30"/>
          <w:szCs w:val="30"/>
          <w:highlight w:val="none"/>
          <w14:textFill>
            <w14:solidFill>
              <w14:schemeClr w14:val="tx1"/>
            </w14:solidFill>
          </w14:textFill>
        </w:rPr>
        <w:t>章　双方承诺</w:t>
      </w:r>
      <w:bookmarkEnd w:id="3"/>
      <w:bookmarkEnd w:id="4"/>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bookmarkStart w:id="25" w:name="_Toc32342"/>
      <w:bookmarkStart w:id="26" w:name="_Toc17598"/>
      <w:bookmarkStart w:id="27" w:name="_Toc12350"/>
      <w:bookmarkStart w:id="28" w:name="_Toc5373"/>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w:t>
      </w:r>
      <w:r>
        <w:rPr>
          <w:rFonts w:hint="eastAsia" w:asciiTheme="minorEastAsia" w:hAnsiTheme="minorEastAsia"/>
          <w:color w:val="000000" w:themeColor="text1"/>
          <w:sz w:val="28"/>
          <w:szCs w:val="28"/>
          <w:highlight w:val="none"/>
          <w:lang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14:textFill>
            <w14:solidFill>
              <w14:schemeClr w14:val="tx1"/>
            </w14:solidFill>
          </w14:textFill>
        </w:rPr>
        <w:t>在此向对方</w:t>
      </w:r>
      <w:r>
        <w:rPr>
          <w:rFonts w:hint="eastAsia" w:asciiTheme="minorEastAsia" w:hAnsiTheme="minorEastAsia"/>
          <w:color w:val="000000" w:themeColor="text1"/>
          <w:sz w:val="28"/>
          <w:szCs w:val="28"/>
          <w:highlight w:val="none"/>
          <w:lang w:eastAsia="zh-CN"/>
          <w14:textFill>
            <w14:solidFill>
              <w14:schemeClr w14:val="tx1"/>
            </w14:solidFill>
          </w14:textFill>
        </w:rPr>
        <w:t>承诺</w:t>
      </w:r>
      <w:r>
        <w:rPr>
          <w:rFonts w:hint="eastAsia" w:asciiTheme="minorEastAsia" w:hAnsiTheme="minorEastAsia" w:eastAsiaTheme="minorEastAsia"/>
          <w:color w:val="000000" w:themeColor="text1"/>
          <w:sz w:val="28"/>
          <w:szCs w:val="28"/>
          <w:highlight w:val="none"/>
          <w14:textFill>
            <w14:solidFill>
              <w14:schemeClr w14:val="tx1"/>
            </w14:solidFill>
          </w14:textFill>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.1.1本方为</w:t>
      </w:r>
      <w:r>
        <w:rPr>
          <w:rFonts w:hint="eastAsia" w:asciiTheme="minorEastAsia" w:hAnsiTheme="minorEastAsia"/>
          <w:color w:val="000000" w:themeColor="text1"/>
          <w:sz w:val="28"/>
          <w:szCs w:val="28"/>
          <w:highlight w:val="none"/>
          <w:lang w:eastAsia="zh-CN"/>
          <w14:textFill>
            <w14:solidFill>
              <w14:schemeClr w14:val="tx1"/>
            </w14:solidFill>
          </w14:textFill>
        </w:rPr>
        <w:t>一家</w:t>
      </w:r>
      <w:r>
        <w:rPr>
          <w:rFonts w:hint="eastAsia" w:asciiTheme="minorEastAsia" w:hAnsiTheme="minorEastAsia" w:eastAsiaTheme="minorEastAsia"/>
          <w:color w:val="000000" w:themeColor="text1"/>
          <w:sz w:val="28"/>
          <w:szCs w:val="28"/>
          <w:highlight w:val="none"/>
          <w14:textFill>
            <w14:solidFill>
              <w14:schemeClr w14:val="tx1"/>
            </w14:solidFill>
          </w14:textFill>
        </w:rPr>
        <w:t>依法设立并合法存续的企业，已在</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stheme="minorBidi"/>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.1.3在签署本合同时，任何法院、仲裁机构</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行政机关</w:t>
      </w:r>
      <w:r>
        <w:rPr>
          <w:rFonts w:hint="eastAsia" w:asciiTheme="minorEastAsia" w:hAnsiTheme="minorEastAsia"/>
          <w:color w:val="000000" w:themeColor="text1"/>
          <w:sz w:val="28"/>
          <w:szCs w:val="28"/>
          <w:highlight w:val="none"/>
          <w:lang w:eastAsia="zh-CN"/>
          <w14:textFill>
            <w14:solidFill>
              <w14:schemeClr w14:val="tx1"/>
            </w14:solidFill>
          </w14:textFill>
        </w:rPr>
        <w:t>或监管机构</w:t>
      </w:r>
      <w:r>
        <w:rPr>
          <w:rFonts w:hint="eastAsia" w:asciiTheme="minorEastAsia" w:hAnsiTheme="minorEastAsia" w:eastAsiaTheme="minorEastAsia"/>
          <w:color w:val="000000" w:themeColor="text1"/>
          <w:sz w:val="28"/>
          <w:szCs w:val="28"/>
          <w:highlight w:val="none"/>
          <w14:textFill>
            <w14:solidFill>
              <w14:schemeClr w14:val="tx1"/>
            </w14:solidFill>
          </w14:textFill>
        </w:rPr>
        <w:t>均未做出任何足以对本方履行本合同产生重大不利影响的判决、裁定、裁决</w:t>
      </w:r>
      <w:r>
        <w:rPr>
          <w:rFonts w:hint="eastAsia" w:asciiTheme="minorEastAsia" w:hAnsiTheme="minorEastAsia"/>
          <w:color w:val="000000" w:themeColor="text1"/>
          <w:sz w:val="28"/>
          <w:szCs w:val="28"/>
          <w:highlight w:val="none"/>
          <w:lang w:eastAsia="zh-CN"/>
          <w14:textFill>
            <w14:solidFill>
              <w14:schemeClr w14:val="tx1"/>
            </w14:solidFill>
          </w14:textFill>
        </w:rPr>
        <w:t>、行政处罚</w:t>
      </w:r>
      <w:r>
        <w:rPr>
          <w:rFonts w:hint="eastAsia" w:asciiTheme="minorEastAsia" w:hAnsiTheme="minorEastAsia" w:eastAsiaTheme="minorEastAsia"/>
          <w:color w:val="000000" w:themeColor="text1"/>
          <w:sz w:val="28"/>
          <w:szCs w:val="28"/>
          <w:highlight w:val="none"/>
          <w14:textFill>
            <w14:solidFill>
              <w14:schemeClr w14:val="tx1"/>
            </w14:solidFill>
          </w14:textFill>
        </w:rPr>
        <w:t>或具体行政行为，以及信用不良记录。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.2本方为签署本合同所需的内部授权程序均已完成</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.3双方均已熟悉广西电力市场有关交易规则</w:t>
      </w:r>
      <w:r>
        <w:rPr>
          <w:rFonts w:hint="eastAsia" w:asciiTheme="minorEastAsia" w:hAnsiTheme="minorEastAsia"/>
          <w:color w:val="000000" w:themeColor="text1"/>
          <w:sz w:val="28"/>
          <w:szCs w:val="28"/>
          <w:highlight w:val="none"/>
          <w:lang w:eastAsia="zh-CN"/>
          <w14:textFill>
            <w14:solidFill>
              <w14:schemeClr w14:val="tx1"/>
            </w14:solidFill>
          </w14:textFill>
        </w:rPr>
        <w:t>和管理制度</w:t>
      </w:r>
      <w:r>
        <w:rPr>
          <w:rFonts w:hint="eastAsia" w:asciiTheme="minorEastAsia" w:hAnsiTheme="minorEastAsia" w:eastAsiaTheme="minorEastAsia"/>
          <w:color w:val="000000" w:themeColor="text1"/>
          <w:sz w:val="28"/>
          <w:szCs w:val="28"/>
          <w:highlight w:val="none"/>
          <w14:textFill>
            <w14:solidFill>
              <w14:schemeClr w14:val="tx1"/>
            </w14:solidFill>
          </w14:textFill>
        </w:rPr>
        <w:t>、年度交易实施方案以及交易公告等，在签订</w:t>
      </w:r>
      <w:r>
        <w:rPr>
          <w:rFonts w:hint="eastAsia" w:asciiTheme="minorEastAsia" w:hAnsiTheme="minorEastAsia"/>
          <w:color w:val="000000" w:themeColor="text1"/>
          <w:sz w:val="28"/>
          <w:szCs w:val="28"/>
          <w:highlight w:val="none"/>
          <w:lang w:val="en-US"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合同前，均已详细阅读并充分理解</w:t>
      </w:r>
      <w:r>
        <w:rPr>
          <w:rFonts w:hint="eastAsia" w:asciiTheme="minorEastAsia" w:hAnsiTheme="minorEastAsia"/>
          <w:color w:val="000000" w:themeColor="text1"/>
          <w:sz w:val="28"/>
          <w:szCs w:val="28"/>
          <w:highlight w:val="none"/>
          <w:lang w:eastAsia="zh-CN"/>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的所有条款</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认同</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电力交易中心发布的正式交易结果</w:t>
      </w:r>
      <w:r>
        <w:rPr>
          <w:rFonts w:hint="eastAsia" w:asciiTheme="minorEastAsia" w:hAnsiTheme="minorEastAsia" w:eastAsiaTheme="minorEastAsia"/>
          <w:color w:val="000000" w:themeColor="text1"/>
          <w:sz w:val="28"/>
          <w:szCs w:val="28"/>
          <w:highlight w:val="none"/>
          <w14:textFill>
            <w14:solidFill>
              <w14:schemeClr w14:val="tx1"/>
            </w14:solidFill>
          </w14:textFill>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2.4</w:t>
      </w:r>
      <w:r>
        <w:rPr>
          <w:rFonts w:hint="eastAsia" w:asciiTheme="minorEastAsia" w:hAnsiTheme="minorEastAsia"/>
          <w:color w:val="000000" w:themeColor="text1"/>
          <w:sz w:val="28"/>
          <w:szCs w:val="28"/>
          <w:highlight w:val="none"/>
          <w:lang w:eastAsia="zh-CN"/>
          <w14:textFill>
            <w14:solidFill>
              <w14:schemeClr w14:val="tx1"/>
            </w14:solidFill>
          </w14:textFill>
        </w:rPr>
        <w:t>双方一致同意</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本合同按照政府主管部门以及</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交易中心印发的市场化交易相关规则、方案以及</w:t>
      </w:r>
      <w:r>
        <w:rPr>
          <w:rFonts w:hint="eastAsia" w:asciiTheme="minorEastAsia" w:hAnsiTheme="minorEastAsia"/>
          <w:color w:val="000000" w:themeColor="text1"/>
          <w:sz w:val="28"/>
          <w:szCs w:val="28"/>
          <w:highlight w:val="none"/>
          <w:lang w:eastAsia="zh-CN"/>
          <w14:textFill>
            <w14:solidFill>
              <w14:schemeClr w14:val="tx1"/>
            </w14:solidFill>
          </w14:textFill>
        </w:rPr>
        <w:t>现行有效的</w:t>
      </w:r>
      <w:r>
        <w:rPr>
          <w:rFonts w:hint="eastAsia" w:asciiTheme="minorEastAsia" w:hAnsiTheme="minorEastAsia" w:eastAsiaTheme="minorEastAsia"/>
          <w:color w:val="000000" w:themeColor="text1"/>
          <w:sz w:val="28"/>
          <w:szCs w:val="28"/>
          <w:highlight w:val="none"/>
          <w14:textFill>
            <w14:solidFill>
              <w14:schemeClr w14:val="tx1"/>
            </w14:solidFill>
          </w14:textFill>
        </w:rPr>
        <w:t>管理办法</w:t>
      </w:r>
      <w:r>
        <w:rPr>
          <w:rFonts w:hint="eastAsia" w:asciiTheme="minorEastAsia" w:hAnsiTheme="minorEastAsia"/>
          <w:color w:val="000000" w:themeColor="text1"/>
          <w:sz w:val="28"/>
          <w:szCs w:val="28"/>
          <w:highlight w:val="none"/>
          <w:lang w:eastAsia="zh-CN"/>
          <w14:textFill>
            <w14:solidFill>
              <w14:schemeClr w14:val="tx1"/>
            </w14:solidFill>
          </w14:textFill>
        </w:rPr>
        <w:t>规定</w:t>
      </w:r>
      <w:r>
        <w:rPr>
          <w:rFonts w:hint="eastAsia" w:asciiTheme="minorEastAsia" w:hAnsiTheme="minorEastAsia" w:eastAsiaTheme="minorEastAsia"/>
          <w:color w:val="000000" w:themeColor="text1"/>
          <w:sz w:val="28"/>
          <w:szCs w:val="28"/>
          <w:highlight w:val="none"/>
          <w14:textFill>
            <w14:solidFill>
              <w14:schemeClr w14:val="tx1"/>
            </w14:solidFill>
          </w14:textFill>
        </w:rPr>
        <w:t>开展电力零售交易。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2.5</w:t>
      </w:r>
      <w:r>
        <w:rPr>
          <w:rFonts w:hint="eastAsia" w:asciiTheme="minorEastAsia" w:hAnsiTheme="minorEastAsia"/>
          <w:color w:val="000000" w:themeColor="text1"/>
          <w:sz w:val="28"/>
          <w:szCs w:val="28"/>
          <w:highlight w:val="none"/>
          <w14:textFill>
            <w14:solidFill>
              <w14:schemeClr w14:val="tx1"/>
            </w14:solidFill>
          </w14:textFill>
        </w:rPr>
        <w:t>双方约定有义务确保双方在电力交易平台线上确认的备案信息内容与本合同文本信息保持一致，如不一致的，以双方在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14:textFill>
            <w14:solidFill>
              <w14:schemeClr w14:val="tx1"/>
            </w14:solidFill>
          </w14:textFill>
        </w:rPr>
        <w:t>确认备案信息内容为准。因不一致产生的损失和后果由双方自行承担</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default" w:asciiTheme="minorEastAsia" w:hAnsiTheme="minorEastAsia"/>
          <w:color w:val="000000" w:themeColor="text1"/>
          <w:sz w:val="28"/>
          <w:szCs w:val="28"/>
          <w:highlight w:val="none"/>
          <w:lang w:val="en-US" w:eastAsia="zh-CN"/>
          <w14:textFill>
            <w14:solidFill>
              <w14:schemeClr w14:val="tx1"/>
            </w14:solidFill>
          </w14:textFill>
        </w:rPr>
        <w:t>6</w:t>
      </w:r>
      <w:r>
        <w:rPr>
          <w:rFonts w:hint="eastAsia" w:asciiTheme="minorEastAsia" w:hAnsiTheme="minorEastAsia" w:eastAsiaTheme="minorEastAsia"/>
          <w:color w:val="000000" w:themeColor="text1"/>
          <w:sz w:val="28"/>
          <w:szCs w:val="28"/>
          <w:highlight w:val="none"/>
          <w14:textFill>
            <w14:solidFill>
              <w14:schemeClr w14:val="tx1"/>
            </w14:solidFill>
          </w14:textFill>
        </w:rPr>
        <w:t>如国家法律、法规发生变化或者政府有关部门、监管机构出台有关规定、规则，合同双方同意按照法律、法规、规定和规则予以调整和修改。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29" w:name="_Toc18964"/>
      <w:bookmarkStart w:id="30" w:name="_Toc3645_WPSOffice_Level1"/>
      <w:bookmarkStart w:id="31" w:name="_Toc28541"/>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3</w:t>
      </w:r>
      <w:r>
        <w:rPr>
          <w:rFonts w:hint="eastAsia" w:ascii="黑体" w:hAnsi="黑体" w:eastAsia="黑体" w:cs="黑体"/>
          <w:color w:val="000000" w:themeColor="text1"/>
          <w:sz w:val="30"/>
          <w:szCs w:val="30"/>
          <w:highlight w:val="none"/>
          <w14:textFill>
            <w14:solidFill>
              <w14:schemeClr w14:val="tx1"/>
            </w14:solidFill>
          </w14:textFill>
        </w:rPr>
        <w:t>章　双方的权利和义务</w:t>
      </w:r>
      <w:bookmarkEnd w:id="25"/>
      <w:bookmarkEnd w:id="26"/>
      <w:bookmarkEnd w:id="27"/>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w:t>
      </w:r>
      <w:r>
        <w:rPr>
          <w:rFonts w:hint="eastAsia" w:asciiTheme="minorEastAsia" w:hAnsiTheme="minorEastAsia" w:eastAsiaTheme="minorEastAsia"/>
          <w:color w:val="000000" w:themeColor="text1"/>
          <w:sz w:val="28"/>
          <w:szCs w:val="28"/>
          <w:highlight w:val="none"/>
          <w14:textFill>
            <w14:solidFill>
              <w14:schemeClr w14:val="tx1"/>
            </w14:solidFill>
          </w14:textFill>
        </w:rPr>
        <w:t>1服从电力市场交易规则、方案及</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3.1.2</w:t>
      </w:r>
      <w:r>
        <w:rPr>
          <w:rFonts w:hint="eastAsia" w:asciiTheme="minorEastAsia" w:hAnsiTheme="minorEastAsia" w:eastAsiaTheme="minorEastAsia"/>
          <w:color w:val="000000" w:themeColor="text1"/>
          <w:sz w:val="28"/>
          <w:szCs w:val="28"/>
          <w:highlight w:val="none"/>
          <w14:textFill>
            <w14:solidFill>
              <w14:schemeClr w14:val="tx1"/>
            </w14:solidFill>
          </w14:textFill>
        </w:rPr>
        <w:t>获得</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履行本合同义务相关的</w:t>
      </w:r>
      <w:r>
        <w:rPr>
          <w:rFonts w:hint="eastAsia" w:asciiTheme="minorEastAsia" w:hAnsiTheme="minorEastAsia"/>
          <w:color w:val="000000" w:themeColor="text1"/>
          <w:sz w:val="28"/>
          <w:szCs w:val="28"/>
          <w:highlight w:val="none"/>
          <w:lang w:eastAsia="zh-CN"/>
          <w14:textFill>
            <w14:solidFill>
              <w14:schemeClr w14:val="tx1"/>
            </w14:solidFill>
          </w14:textFill>
        </w:rPr>
        <w:t>工作计划</w:t>
      </w:r>
      <w:r>
        <w:rPr>
          <w:rFonts w:hint="eastAsia" w:asciiTheme="minorEastAsia" w:hAnsiTheme="minorEastAsia" w:eastAsiaTheme="minorEastAsia"/>
          <w:color w:val="000000" w:themeColor="text1"/>
          <w:sz w:val="28"/>
          <w:szCs w:val="28"/>
          <w:highlight w:val="none"/>
          <w14:textFill>
            <w14:solidFill>
              <w14:schemeClr w14:val="tx1"/>
            </w14:solidFill>
          </w14:textFill>
        </w:rPr>
        <w:t>信息、资料</w:t>
      </w:r>
      <w:r>
        <w:rPr>
          <w:rFonts w:hint="eastAsia" w:asciiTheme="minorEastAsia" w:hAnsiTheme="minorEastAsia"/>
          <w:color w:val="000000" w:themeColor="text1"/>
          <w:sz w:val="28"/>
          <w:szCs w:val="28"/>
          <w:highlight w:val="none"/>
          <w:lang w:eastAsia="zh-CN"/>
          <w14:textFill>
            <w14:solidFill>
              <w14:schemeClr w14:val="tx1"/>
            </w14:solidFill>
          </w14:textFill>
        </w:rPr>
        <w:t>及查阅电能量计量数据</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3.1.3</w:t>
      </w:r>
      <w:r>
        <w:rPr>
          <w:rFonts w:hint="eastAsia" w:asciiTheme="minorEastAsia" w:hAnsiTheme="minorEastAsia" w:eastAsiaTheme="minorEastAsia"/>
          <w:color w:val="000000" w:themeColor="text1"/>
          <w:sz w:val="28"/>
          <w:szCs w:val="28"/>
          <w:highlight w:val="none"/>
          <w14:textFill>
            <w14:solidFill>
              <w14:schemeClr w14:val="tx1"/>
            </w14:solidFill>
          </w14:textFill>
        </w:rPr>
        <w:t>向</w:t>
      </w:r>
      <w:r>
        <w:rPr>
          <w:rFonts w:hint="eastAsia" w:asciiTheme="minorEastAsia" w:hAnsiTheme="minorEastAsia"/>
          <w:color w:val="000000" w:themeColor="text1"/>
          <w:sz w:val="28"/>
          <w:szCs w:val="28"/>
          <w:highlight w:val="none"/>
          <w:lang w:eastAsia="zh-CN"/>
          <w14:textFill>
            <w14:solidFill>
              <w14:schemeClr w14:val="tx1"/>
            </w14:solidFill>
          </w14:textFill>
        </w:rPr>
        <w:t>乙方和市场运营机构</w:t>
      </w:r>
      <w:r>
        <w:rPr>
          <w:rFonts w:hint="eastAsia" w:asciiTheme="minorEastAsia" w:hAnsiTheme="minorEastAsia" w:eastAsiaTheme="minorEastAsia"/>
          <w:color w:val="000000" w:themeColor="text1"/>
          <w:sz w:val="28"/>
          <w:szCs w:val="28"/>
          <w:highlight w:val="none"/>
          <w14:textFill>
            <w14:solidFill>
              <w14:schemeClr w14:val="tx1"/>
            </w14:solidFill>
          </w14:textFill>
        </w:rPr>
        <w:t>如实、完整提供</w:t>
      </w:r>
      <w:r>
        <w:rPr>
          <w:rFonts w:hint="eastAsia" w:asciiTheme="minorEastAsia" w:hAnsiTheme="minorEastAsia"/>
          <w:color w:val="000000" w:themeColor="text1"/>
          <w:sz w:val="28"/>
          <w:szCs w:val="28"/>
          <w:highlight w:val="none"/>
          <w:lang w:eastAsia="zh-CN"/>
          <w14:textFill>
            <w14:solidFill>
              <w14:schemeClr w14:val="tx1"/>
            </w14:solidFill>
          </w14:textFill>
        </w:rPr>
        <w:t>绿色</w:t>
      </w:r>
      <w:r>
        <w:rPr>
          <w:rFonts w:hint="eastAsia" w:asciiTheme="minorEastAsia" w:hAnsiTheme="minorEastAsia" w:eastAsiaTheme="minorEastAsia"/>
          <w:color w:val="000000" w:themeColor="text1"/>
          <w:sz w:val="28"/>
          <w:szCs w:val="28"/>
          <w:highlight w:val="none"/>
          <w14:textFill>
            <w14:solidFill>
              <w14:schemeClr w14:val="tx1"/>
            </w14:solidFill>
          </w14:textFill>
        </w:rPr>
        <w:t>电力交易用电需求及其他生产运行等用电信息。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3.1.4按照</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现行有效的绿电</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交易规则</w:t>
      </w:r>
      <w:r>
        <w:rPr>
          <w:rFonts w:hint="eastAsia" w:asciiTheme="minorEastAsia" w:hAnsiTheme="minorEastAsia"/>
          <w:color w:val="000000" w:themeColor="text1"/>
          <w:sz w:val="28"/>
          <w:szCs w:val="28"/>
          <w:highlight w:val="none"/>
          <w:lang w:val="en-US" w:eastAsia="zh-CN"/>
          <w14:textFill>
            <w14:solidFill>
              <w14:schemeClr w14:val="tx1"/>
            </w14:solidFill>
          </w14:textFill>
        </w:rPr>
        <w:t>获得绿色电力证书。</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3.1.5在规定时间内对用网电量及对乙方提报的结算数据进行确认及反馈。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3.1.6</w:t>
      </w:r>
      <w:r>
        <w:rPr>
          <w:rFonts w:hint="eastAsia" w:asciiTheme="minorEastAsia" w:hAnsiTheme="minorEastAsia" w:eastAsiaTheme="minorEastAsia"/>
          <w:color w:val="000000" w:themeColor="text1"/>
          <w:sz w:val="28"/>
          <w:szCs w:val="28"/>
          <w:highlight w:val="none"/>
          <w14:textFill>
            <w14:solidFill>
              <w14:schemeClr w14:val="tx1"/>
            </w14:solidFill>
          </w14:textFill>
        </w:rPr>
        <w:t>保证在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eastAsia="zh-CN"/>
          <w14:textFill>
            <w14:solidFill>
              <w14:schemeClr w14:val="tx1"/>
            </w14:solidFill>
          </w14:textFill>
        </w:rPr>
        <w:t>的</w:t>
      </w:r>
      <w:r>
        <w:rPr>
          <w:rFonts w:hint="eastAsia" w:asciiTheme="minorEastAsia" w:hAnsiTheme="minorEastAsia" w:eastAsiaTheme="minorEastAsia"/>
          <w:color w:val="000000" w:themeColor="text1"/>
          <w:sz w:val="28"/>
          <w:szCs w:val="28"/>
          <w:highlight w:val="none"/>
          <w14:textFill>
            <w14:solidFill>
              <w14:schemeClr w14:val="tx1"/>
            </w14:solidFill>
          </w14:textFill>
        </w:rPr>
        <w:t>用户档案信息</w:t>
      </w:r>
      <w:r>
        <w:rPr>
          <w:rFonts w:hint="eastAsia" w:asciiTheme="minorEastAsia" w:hAnsiTheme="minorEastAsia"/>
          <w:color w:val="000000" w:themeColor="text1"/>
          <w:sz w:val="28"/>
          <w:szCs w:val="28"/>
          <w:highlight w:val="none"/>
          <w:lang w:eastAsia="zh-CN"/>
          <w14:textFill>
            <w14:solidFill>
              <w14:schemeClr w14:val="tx1"/>
            </w14:solidFill>
          </w14:textFill>
        </w:rPr>
        <w:t>准确、</w:t>
      </w:r>
      <w:r>
        <w:rPr>
          <w:rFonts w:hint="eastAsia" w:asciiTheme="minorEastAsia" w:hAnsiTheme="minorEastAsia" w:eastAsiaTheme="minorEastAsia"/>
          <w:color w:val="000000" w:themeColor="text1"/>
          <w:sz w:val="28"/>
          <w:szCs w:val="28"/>
          <w:highlight w:val="none"/>
          <w14:textFill>
            <w14:solidFill>
              <w14:schemeClr w14:val="tx1"/>
            </w14:solidFill>
          </w14:textFill>
        </w:rPr>
        <w:t>完备，相关权限和功能正常可用，向</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提供与履行本合同相关的其他信息</w:t>
      </w:r>
      <w:r>
        <w:rPr>
          <w:rFonts w:hint="eastAsia" w:asciiTheme="minorEastAsia" w:hAnsiTheme="minorEastAsia"/>
          <w:color w:val="000000" w:themeColor="text1"/>
          <w:sz w:val="28"/>
          <w:szCs w:val="28"/>
          <w:highlight w:val="none"/>
          <w:lang w:eastAsia="zh-CN"/>
          <w14:textFill>
            <w14:solidFill>
              <w14:schemeClr w14:val="tx1"/>
            </w14:solidFill>
          </w14:textFill>
        </w:rPr>
        <w:t>、资料；用户档案信息发生变化时，按规定向电力交易中心履行变更手续</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3.1.7</w:t>
      </w:r>
      <w:r>
        <w:rPr>
          <w:rFonts w:hint="eastAsia" w:asciiTheme="minorEastAsia" w:hAnsiTheme="minorEastAsia" w:eastAsiaTheme="minorEastAsia"/>
          <w:color w:val="000000" w:themeColor="text1"/>
          <w:sz w:val="28"/>
          <w:szCs w:val="28"/>
          <w:highlight w:val="none"/>
          <w14:textFill>
            <w14:solidFill>
              <w14:schemeClr w14:val="tx1"/>
            </w14:solidFill>
          </w14:textFill>
        </w:rPr>
        <w:t>及时书面告知</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交易中心以及其他相关方本企业无法履行的</w:t>
      </w:r>
      <w:r>
        <w:rPr>
          <w:rFonts w:hint="eastAsia" w:asciiTheme="minorEastAsia" w:hAnsiTheme="minorEastAsia"/>
          <w:color w:val="000000" w:themeColor="text1"/>
          <w:sz w:val="28"/>
          <w:szCs w:val="28"/>
          <w:highlight w:val="none"/>
          <w:lang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3.1.8</w:t>
      </w:r>
      <w:r>
        <w:rPr>
          <w:rFonts w:hint="eastAsia" w:asciiTheme="minorEastAsia" w:hAnsiTheme="minorEastAsia" w:eastAsiaTheme="minorEastAsia"/>
          <w:color w:val="000000" w:themeColor="text1"/>
          <w:sz w:val="28"/>
          <w:szCs w:val="28"/>
          <w:highlight w:val="none"/>
          <w14:textFill>
            <w14:solidFill>
              <w14:schemeClr w14:val="tx1"/>
            </w14:solidFill>
          </w14:textFill>
        </w:rPr>
        <w:t>根据本合同约定承担法律后果，包括向乙方支付违约金、损害赔偿金等。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3.1.9</w:t>
      </w:r>
      <w:r>
        <w:rPr>
          <w:rFonts w:hint="eastAsia" w:asciiTheme="minorEastAsia" w:hAnsiTheme="minorEastAsia" w:eastAsiaTheme="minorEastAsia"/>
          <w:color w:val="000000" w:themeColor="text1"/>
          <w:sz w:val="28"/>
          <w:szCs w:val="28"/>
          <w:highlight w:val="none"/>
          <w14:textFill>
            <w14:solidFill>
              <w14:schemeClr w14:val="tx1"/>
            </w14:solidFill>
          </w14:textFill>
        </w:rPr>
        <w:t>应对</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3.1.10服从调度安排有序用电；</w:t>
      </w:r>
      <w:r>
        <w:rPr>
          <w:rFonts w:hint="eastAsia" w:asciiTheme="minorEastAsia" w:hAnsiTheme="minorEastAsia" w:eastAsiaTheme="minorEastAsia"/>
          <w:color w:val="000000" w:themeColor="text1"/>
          <w:sz w:val="28"/>
          <w:szCs w:val="28"/>
          <w:highlight w:val="none"/>
          <w14:textFill>
            <w14:solidFill>
              <w14:schemeClr w14:val="tx1"/>
            </w14:solidFill>
          </w14:textFill>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3.1.11</w:t>
      </w:r>
      <w:r>
        <w:rPr>
          <w:rFonts w:hint="eastAsia" w:asciiTheme="minorEastAsia" w:hAnsiTheme="minorEastAsia"/>
          <w:color w:val="000000" w:themeColor="text1"/>
          <w:sz w:val="28"/>
          <w:szCs w:val="28"/>
          <w:highlight w:val="none"/>
          <w14:textFill>
            <w14:solidFill>
              <w14:schemeClr w14:val="tx1"/>
            </w14:solidFill>
          </w14:textFill>
        </w:rPr>
        <w:t>按相关规定和合同约定支付交易电费、输配电费、</w:t>
      </w:r>
      <w:r>
        <w:rPr>
          <w:rFonts w:hint="eastAsia" w:cs="Times New Roman" w:asciiTheme="minorEastAsia" w:hAnsiTheme="minorEastAsia" w:eastAsiaTheme="minorEastAsia"/>
          <w:sz w:val="28"/>
          <w:szCs w:val="28"/>
          <w:lang w:val="en-US" w:eastAsia="zh-CN"/>
        </w:rPr>
        <w:t>线损电费</w:t>
      </w:r>
      <w:r>
        <w:rPr>
          <w:rFonts w:hint="eastAsia" w:cs="Times New Roman" w:asciiTheme="minorEastAsia" w:hAnsiTheme="minorEastAsia"/>
          <w:sz w:val="28"/>
          <w:szCs w:val="28"/>
          <w:lang w:val="en-US" w:eastAsia="zh-CN"/>
        </w:rPr>
        <w:t>、</w:t>
      </w:r>
      <w:r>
        <w:rPr>
          <w:rFonts w:hint="eastAsia" w:asciiTheme="minorEastAsia" w:hAnsiTheme="minorEastAsia"/>
          <w:color w:val="000000" w:themeColor="text1"/>
          <w:sz w:val="28"/>
          <w:szCs w:val="28"/>
          <w:highlight w:val="none"/>
          <w14:textFill>
            <w14:solidFill>
              <w14:schemeClr w14:val="tx1"/>
            </w14:solidFill>
          </w14:textFill>
        </w:rPr>
        <w:t>政府性基金及附加等</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退市时，应配合完成电量及费用清算。</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1服从电力市场交易规则、方案及</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2按照本合同约定为甲方购买其所需的绿电交易电量。</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3获得</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与履行本合同义务相关的信息、资料</w:t>
      </w:r>
      <w:r>
        <w:rPr>
          <w:rFonts w:hint="eastAsia" w:asciiTheme="minorEastAsia" w:hAnsiTheme="minorEastAsia"/>
          <w:color w:val="000000" w:themeColor="text1"/>
          <w:sz w:val="28"/>
          <w:szCs w:val="28"/>
          <w:highlight w:val="none"/>
          <w:lang w:eastAsia="zh-CN"/>
          <w14:textFill>
            <w14:solidFill>
              <w14:schemeClr w14:val="tx1"/>
            </w14:solidFill>
          </w14:textFill>
        </w:rPr>
        <w:t>（包括生产计划和设备检修计划等）</w:t>
      </w:r>
      <w:r>
        <w:rPr>
          <w:rFonts w:hint="eastAsia" w:asciiTheme="minorEastAsia" w:hAnsiTheme="minorEastAsia" w:eastAsiaTheme="minorEastAsia"/>
          <w:color w:val="000000" w:themeColor="text1"/>
          <w:sz w:val="28"/>
          <w:szCs w:val="28"/>
          <w:highlight w:val="none"/>
          <w14:textFill>
            <w14:solidFill>
              <w14:schemeClr w14:val="tx1"/>
            </w14:solidFill>
          </w14:textFill>
        </w:rPr>
        <w:t>及查阅本合同有关的历史用电数据和计量数据。向</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提供与履行本合同的其他信息。</w:t>
      </w:r>
    </w:p>
    <w:p>
      <w:pPr>
        <w:pStyle w:val="13"/>
        <w:spacing w:before="0" w:beforeAutospacing="0" w:after="0" w:afterAutospacing="0"/>
        <w:ind w:left="0" w:leftChars="0" w:firstLine="560" w:firstLineChars="200"/>
        <w:rPr>
          <w:rFonts w:hint="default" w:eastAsiaTheme="minorEastAsia"/>
          <w:color w:val="000000" w:themeColor="text1"/>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3.2.4配合提供甲方的容量、电量、负荷曲线及其他生产运行信息，并对相关信息的真实性、准确性负责。</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3.2.5</w:t>
      </w:r>
      <w:r>
        <w:rPr>
          <w:rFonts w:hint="eastAsia" w:asciiTheme="minorEastAsia" w:hAnsiTheme="minorEastAsia" w:eastAsiaTheme="minorEastAsia"/>
          <w:color w:val="000000" w:themeColor="text1"/>
          <w:sz w:val="28"/>
          <w:szCs w:val="28"/>
          <w:highlight w:val="none"/>
          <w14:textFill>
            <w14:solidFill>
              <w14:schemeClr w14:val="tx1"/>
            </w14:solidFill>
          </w14:textFill>
        </w:rPr>
        <w:t>按照规则参与市场化交易，履行</w:t>
      </w:r>
      <w:r>
        <w:rPr>
          <w:rFonts w:hint="eastAsia" w:asciiTheme="minorEastAsia" w:hAnsiTheme="minorEastAsia"/>
          <w:color w:val="000000" w:themeColor="text1"/>
          <w:sz w:val="28"/>
          <w:szCs w:val="28"/>
          <w:highlight w:val="none"/>
          <w:lang w:eastAsia="zh-CN"/>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w:t>
      </w:r>
      <w:r>
        <w:rPr>
          <w:rFonts w:hint="eastAsia" w:asciiTheme="minorEastAsia" w:hAnsiTheme="minorEastAsia"/>
          <w:color w:val="000000" w:themeColor="text1"/>
          <w:sz w:val="28"/>
          <w:szCs w:val="28"/>
          <w:highlight w:val="none"/>
          <w:lang w:eastAsia="zh-CN"/>
          <w14:textFill>
            <w14:solidFill>
              <w14:schemeClr w14:val="tx1"/>
            </w14:solidFill>
          </w14:textFill>
        </w:rPr>
        <w:t>的</w:t>
      </w:r>
      <w:r>
        <w:rPr>
          <w:rFonts w:hint="eastAsia" w:asciiTheme="minorEastAsia" w:hAnsiTheme="minorEastAsia" w:eastAsiaTheme="minorEastAsia"/>
          <w:color w:val="000000" w:themeColor="text1"/>
          <w:sz w:val="28"/>
          <w:szCs w:val="28"/>
          <w:highlight w:val="none"/>
          <w14:textFill>
            <w14:solidFill>
              <w14:schemeClr w14:val="tx1"/>
            </w14:solidFill>
          </w14:textFill>
        </w:rPr>
        <w:t>交易、服务、结算和收费等相关事宜</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3.2.6按照合同结算条款计算并在规定时间内向电力交易中心提报</w:t>
      </w:r>
      <w:r>
        <w:rPr>
          <w:rFonts w:hint="eastAsia" w:asciiTheme="minorEastAsia" w:hAnsiTheme="minorEastAsia"/>
          <w:color w:val="000000" w:themeColor="text1"/>
          <w:sz w:val="28"/>
          <w:szCs w:val="28"/>
          <w:highlight w:val="none"/>
          <w:lang w:eastAsia="zh-CN"/>
          <w14:textFill>
            <w14:solidFill>
              <w14:schemeClr w14:val="tx1"/>
            </w14:solidFill>
          </w14:textFill>
        </w:rPr>
        <w:t>甲方的月度绿电交易结算</w:t>
      </w:r>
      <w:r>
        <w:rPr>
          <w:rFonts w:hint="eastAsia" w:asciiTheme="minorEastAsia" w:hAnsiTheme="minorEastAsia"/>
          <w:color w:val="000000" w:themeColor="text1"/>
          <w:sz w:val="28"/>
          <w:szCs w:val="28"/>
          <w:highlight w:val="none"/>
          <w14:textFill>
            <w14:solidFill>
              <w14:schemeClr w14:val="tx1"/>
            </w14:solidFill>
          </w14:textFill>
        </w:rPr>
        <w:t>电量</w:t>
      </w:r>
      <w:r>
        <w:rPr>
          <w:rFonts w:hint="eastAsia" w:asciiTheme="minorEastAsia" w:hAnsiTheme="minorEastAsia"/>
          <w:color w:val="000000" w:themeColor="text1"/>
          <w:sz w:val="28"/>
          <w:szCs w:val="28"/>
          <w:highlight w:val="none"/>
          <w:lang w:eastAsia="zh-CN"/>
          <w14:textFill>
            <w14:solidFill>
              <w14:schemeClr w14:val="tx1"/>
            </w14:solidFill>
          </w14:textFill>
        </w:rPr>
        <w:t>、零售价格和</w:t>
      </w:r>
      <w:r>
        <w:rPr>
          <w:rFonts w:hint="eastAsia" w:asciiTheme="minorEastAsia" w:hAnsiTheme="minorEastAsia"/>
          <w:color w:val="000000" w:themeColor="text1"/>
          <w:sz w:val="28"/>
          <w:szCs w:val="28"/>
          <w:highlight w:val="none"/>
          <w14:textFill>
            <w14:solidFill>
              <w14:schemeClr w14:val="tx1"/>
            </w14:solidFill>
          </w14:textFill>
        </w:rPr>
        <w:t>电费等结算信息</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3.2.7</w:t>
      </w:r>
      <w:r>
        <w:rPr>
          <w:rFonts w:hint="eastAsia" w:asciiTheme="minorEastAsia" w:hAnsiTheme="minorEastAsia" w:eastAsiaTheme="minorEastAsia"/>
          <w:color w:val="000000" w:themeColor="text1"/>
          <w:sz w:val="28"/>
          <w:szCs w:val="28"/>
          <w:highlight w:val="none"/>
          <w14:textFill>
            <w14:solidFill>
              <w14:schemeClr w14:val="tx1"/>
            </w14:solidFill>
          </w14:textFill>
        </w:rPr>
        <w:t>及时书面告知</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交易中心以及其他相关方本企业无法履行的</w:t>
      </w:r>
      <w:r>
        <w:rPr>
          <w:rFonts w:hint="eastAsia" w:asciiTheme="minorEastAsia" w:hAnsiTheme="minorEastAsia"/>
          <w:color w:val="000000" w:themeColor="text1"/>
          <w:sz w:val="28"/>
          <w:szCs w:val="28"/>
          <w:highlight w:val="none"/>
          <w:lang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3.2.8</w:t>
      </w:r>
      <w:r>
        <w:rPr>
          <w:rFonts w:hint="eastAsia" w:asciiTheme="minorEastAsia" w:hAnsiTheme="minorEastAsia" w:eastAsiaTheme="minorEastAsia"/>
          <w:color w:val="000000" w:themeColor="text1"/>
          <w:sz w:val="28"/>
          <w:szCs w:val="28"/>
          <w:highlight w:val="none"/>
          <w14:textFill>
            <w14:solidFill>
              <w14:schemeClr w14:val="tx1"/>
            </w14:solidFill>
          </w14:textFill>
        </w:rPr>
        <w:t>根据本合同约定承担法律后果，包括向甲方支付违约金、损害赔偿金等。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3.2.9向甲方提供与履行本合同相关的其他信息。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3.2.10</w:t>
      </w:r>
      <w:r>
        <w:rPr>
          <w:rFonts w:hint="eastAsia" w:asciiTheme="minorEastAsia" w:hAnsiTheme="minorEastAsia" w:eastAsiaTheme="minorEastAsia"/>
          <w:color w:val="000000" w:themeColor="text1"/>
          <w:sz w:val="28"/>
          <w:szCs w:val="28"/>
          <w:highlight w:val="none"/>
          <w14:textFill>
            <w14:solidFill>
              <w14:schemeClr w14:val="tx1"/>
            </w14:solidFill>
          </w14:textFill>
        </w:rPr>
        <w:t>应对</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3.2.11</w:t>
      </w:r>
      <w:r>
        <w:rPr>
          <w:rFonts w:hint="eastAsia" w:asciiTheme="minorEastAsia" w:hAnsiTheme="minorEastAsia" w:eastAsiaTheme="minorEastAsia"/>
          <w:color w:val="000000" w:themeColor="text1"/>
          <w:sz w:val="28"/>
          <w:szCs w:val="28"/>
          <w:highlight w:val="none"/>
          <w14:textFill>
            <w14:solidFill>
              <w14:schemeClr w14:val="tx1"/>
            </w14:solidFill>
          </w14:textFill>
        </w:rPr>
        <w:t>发生紧急情况时，按照相关规定执行。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32" w:name="_Toc14357"/>
      <w:bookmarkStart w:id="33" w:name="_Toc11486"/>
      <w:bookmarkStart w:id="34" w:name="_Toc21265_WPSOffice_Level1"/>
      <w:bookmarkStart w:id="35" w:name="_Toc4225"/>
      <w:bookmarkStart w:id="36" w:name="_Toc31597"/>
      <w:bookmarkStart w:id="37" w:name="_Toc21283"/>
      <w:bookmarkStart w:id="38" w:name="_Toc28862"/>
      <w:bookmarkStart w:id="39" w:name="_Toc19528"/>
      <w:bookmarkStart w:id="40" w:name="_Toc3018"/>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4</w:t>
      </w:r>
      <w:r>
        <w:rPr>
          <w:rFonts w:hint="eastAsia" w:ascii="黑体" w:hAnsi="黑体" w:eastAsia="黑体" w:cs="黑体"/>
          <w:color w:val="000000" w:themeColor="text1"/>
          <w:sz w:val="30"/>
          <w:szCs w:val="30"/>
          <w:highlight w:val="none"/>
          <w14:textFill>
            <w14:solidFill>
              <w14:schemeClr w14:val="tx1"/>
            </w14:solidFill>
          </w14:textFill>
        </w:rPr>
        <w:t>章　</w:t>
      </w:r>
      <w:r>
        <w:rPr>
          <w:rFonts w:hint="eastAsia" w:ascii="黑体" w:hAnsi="黑体" w:eastAsia="黑体" w:cs="黑体"/>
          <w:color w:val="000000" w:themeColor="text1"/>
          <w:sz w:val="30"/>
          <w:szCs w:val="30"/>
          <w:highlight w:val="none"/>
          <w:lang w:val="en-US" w:eastAsia="zh-CN"/>
          <w14:textFill>
            <w14:solidFill>
              <w14:schemeClr w14:val="tx1"/>
            </w14:solidFill>
          </w14:textFill>
        </w:rPr>
        <w:t>结算事宜</w:t>
      </w:r>
      <w:bookmarkEnd w:id="32"/>
      <w:bookmarkEnd w:id="33"/>
      <w:bookmarkEnd w:id="34"/>
      <w:bookmarkEnd w:id="35"/>
      <w:bookmarkEnd w:id="36"/>
      <w:bookmarkEnd w:id="37"/>
      <w:bookmarkEnd w:id="38"/>
      <w:bookmarkEnd w:id="39"/>
      <w:bookmarkEnd w:id="40"/>
    </w:p>
    <w:p>
      <w:pPr>
        <w:spacing w:line="600" w:lineRule="exact"/>
        <w:ind w:firstLine="641"/>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bookmarkStart w:id="41" w:name="_Toc19038"/>
      <w:bookmarkStart w:id="42" w:name="_Toc23154"/>
      <w:r>
        <w:rPr>
          <w:rFonts w:hint="eastAsia" w:asciiTheme="minorEastAsia" w:hAnsiTheme="minorEastAsia"/>
          <w:color w:val="000000" w:themeColor="text1"/>
          <w:sz w:val="28"/>
          <w:szCs w:val="28"/>
          <w:highlight w:val="none"/>
          <w:lang w:val="en-US" w:eastAsia="zh-CN"/>
          <w14:textFill>
            <w14:solidFill>
              <w14:schemeClr w14:val="tx1"/>
            </w14:solidFill>
          </w14:textFill>
        </w:rPr>
        <w:t>4.1</w:t>
      </w:r>
      <w:r>
        <w:rPr>
          <w:rFonts w:hint="eastAsia" w:asciiTheme="minorEastAsia" w:hAnsiTheme="minorEastAsia"/>
          <w:color w:val="000000" w:themeColor="text1"/>
          <w:sz w:val="28"/>
          <w:szCs w:val="28"/>
          <w:highlight w:val="none"/>
          <w:lang w:eastAsia="zh-CN"/>
          <w14:textFill>
            <w14:solidFill>
              <w14:schemeClr w14:val="tx1"/>
            </w14:solidFill>
          </w14:textFill>
        </w:rPr>
        <w:t>甲乙双方一致同意：</w:t>
      </w:r>
      <w:r>
        <w:rPr>
          <w:rFonts w:hint="eastAsia" w:asciiTheme="minorEastAsia" w:hAnsiTheme="minorEastAsia"/>
          <w:b/>
          <w:bCs/>
          <w:color w:val="000000" w:themeColor="text1"/>
          <w:sz w:val="28"/>
          <w:szCs w:val="28"/>
          <w:highlight w:val="none"/>
          <w:lang w:val="en-US" w:eastAsia="zh-CN"/>
          <w14:textFill>
            <w14:solidFill>
              <w14:schemeClr w14:val="tx1"/>
            </w14:solidFill>
          </w14:textFill>
        </w:rPr>
        <w:t>交易价格由绿色电力电能量价格、环境溢价（绿证价格）和绿色电力环境溢价浮动电费组成</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绿色电力交易电能量部分由电力交易中心按照双方在电力交易平台上确认的</w:t>
      </w:r>
      <w:r>
        <w:rPr>
          <w:rFonts w:hint="eastAsia" w:asciiTheme="minorEastAsia" w:hAnsiTheme="minorEastAsia"/>
          <w:b w:val="0"/>
          <w:bCs w:val="0"/>
          <w:color w:val="000000" w:themeColor="text1"/>
          <w:sz w:val="28"/>
          <w:szCs w:val="28"/>
          <w:highlight w:val="none"/>
          <w:u w:val="none"/>
          <w:lang w:val="en-US" w:eastAsia="zh-CN"/>
          <w14:textFill>
            <w14:solidFill>
              <w14:schemeClr w14:val="tx1"/>
            </w14:solidFill>
          </w14:textFill>
        </w:rPr>
        <w:t>广西电力市场</w:t>
      </w:r>
      <w:r>
        <w:rPr>
          <w:rFonts w:hint="eastAsia" w:asciiTheme="minorEastAsia" w:hAnsiTheme="minorEastAsia"/>
          <w:color w:val="000000" w:themeColor="text1"/>
          <w:sz w:val="28"/>
          <w:szCs w:val="28"/>
          <w:highlight w:val="none"/>
          <w:lang w:eastAsia="zh-CN"/>
          <w14:textFill>
            <w14:solidFill>
              <w14:schemeClr w14:val="tx1"/>
            </w14:solidFill>
          </w14:textFill>
        </w:rPr>
        <w:t>零售</w:t>
      </w:r>
      <w:r>
        <w:rPr>
          <w:rFonts w:hint="eastAsia" w:asciiTheme="minorEastAsia" w:hAnsiTheme="minorEastAsia"/>
          <w:color w:val="000000" w:themeColor="text1"/>
          <w:sz w:val="28"/>
          <w:szCs w:val="28"/>
          <w:highlight w:val="none"/>
          <w:lang w:val="en-US" w:eastAsia="zh-CN"/>
          <w14:textFill>
            <w14:solidFill>
              <w14:schemeClr w14:val="tx1"/>
            </w14:solidFill>
          </w14:textFill>
        </w:rPr>
        <w:t>服务合同</w:t>
      </w:r>
      <w:r>
        <w:rPr>
          <w:rFonts w:hint="eastAsia" w:asciiTheme="minorEastAsia" w:hAnsiTheme="minorEastAsia"/>
          <w:color w:val="000000" w:themeColor="text1"/>
          <w:sz w:val="28"/>
          <w:szCs w:val="28"/>
          <w:highlight w:val="none"/>
          <w:lang w:eastAsia="zh-CN"/>
          <w14:textFill>
            <w14:solidFill>
              <w14:schemeClr w14:val="tx1"/>
            </w14:solidFill>
          </w14:textFill>
        </w:rPr>
        <w:t>开展零售结算</w:t>
      </w:r>
      <w:r>
        <w:rPr>
          <w:rFonts w:hint="eastAsia" w:asciiTheme="minorEastAsia" w:hAnsiTheme="minorEastAsia"/>
          <w:sz w:val="28"/>
          <w:szCs w:val="28"/>
          <w:highlight w:val="none"/>
          <w:lang w:eastAsia="zh-CN"/>
        </w:rPr>
        <w:t>，绿色电力交易环境溢价和绿色电力环境溢价浮动电费部分由售电公司根据本合同相关条款开展对应费用计算并填报至</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eastAsia="zh-CN"/>
          <w14:textFill>
            <w14:solidFill>
              <w14:schemeClr w14:val="tx1"/>
            </w14:solidFill>
          </w14:textFill>
        </w:rPr>
        <w:t>。月度结算时，如双方对结算依据存在异议，按照广西电力</w:t>
      </w:r>
      <w:r>
        <w:rPr>
          <w:rFonts w:hint="eastAsia" w:asciiTheme="minorEastAsia" w:hAnsiTheme="minorEastAsia"/>
          <w:color w:val="000000" w:themeColor="text1"/>
          <w:sz w:val="28"/>
          <w:szCs w:val="28"/>
          <w:highlight w:val="none"/>
          <w:lang w:val="en-US" w:eastAsia="zh-CN"/>
          <w14:textFill>
            <w14:solidFill>
              <w14:schemeClr w14:val="tx1"/>
            </w14:solidFill>
          </w14:textFill>
        </w:rPr>
        <w:t>市场</w:t>
      </w:r>
      <w:r>
        <w:rPr>
          <w:rFonts w:hint="eastAsia" w:asciiTheme="minorEastAsia" w:hAnsiTheme="minorEastAsia"/>
          <w:color w:val="000000" w:themeColor="text1"/>
          <w:sz w:val="28"/>
          <w:szCs w:val="28"/>
          <w:highlight w:val="none"/>
          <w:lang w:eastAsia="zh-CN"/>
          <w14:textFill>
            <w14:solidFill>
              <w14:schemeClr w14:val="tx1"/>
            </w14:solidFill>
          </w14:textFill>
        </w:rPr>
        <w:t>零售结算管理办法执行。由电网企业根据电力交易中心出具的结算依据进行资金结算。</w:t>
      </w:r>
    </w:p>
    <w:p>
      <w:pPr>
        <w:spacing w:line="600" w:lineRule="exact"/>
        <w:ind w:firstLine="641"/>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4.2本合同</w:t>
      </w:r>
      <w:r>
        <w:rPr>
          <w:rFonts w:hint="eastAsia" w:asciiTheme="minorEastAsia" w:hAnsiTheme="minorEastAsia"/>
          <w:color w:val="000000" w:themeColor="text1"/>
          <w:sz w:val="28"/>
          <w:szCs w:val="28"/>
          <w:highlight w:val="none"/>
          <w14:textFill>
            <w14:solidFill>
              <w14:schemeClr w14:val="tx1"/>
            </w14:solidFill>
          </w14:textFill>
        </w:rPr>
        <w:t>所指的价格均含税</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color w:val="000000" w:themeColor="text1"/>
          <w:sz w:val="28"/>
          <w:szCs w:val="28"/>
          <w:highlight w:val="none"/>
          <w14:textFill>
            <w14:solidFill>
              <w14:schemeClr w14:val="tx1"/>
            </w14:solidFill>
          </w14:textFill>
        </w:rPr>
        <w:t>若国家税率调整，本合同含税电价保持不变。</w:t>
      </w:r>
    </w:p>
    <w:p>
      <w:pPr>
        <w:ind w:firstLine="570"/>
        <w:rPr>
          <w:rFonts w:hint="eastAsia" w:asciiTheme="minorEastAsia" w:hAnsiTheme="minorEastAsia" w:eastAsiaTheme="minorEastAsia" w:cstheme="minorEastAsia"/>
          <w:b w:val="0"/>
          <w:bCs/>
          <w:color w:val="000000" w:themeColor="text1"/>
          <w:sz w:val="28"/>
          <w:szCs w:val="28"/>
          <w:highlight w:val="none"/>
          <w14:textFill>
            <w14:solidFill>
              <w14:schemeClr w14:val="tx1"/>
            </w14:solidFill>
          </w14:textFill>
        </w:rPr>
      </w:pPr>
      <w:r>
        <w:rPr>
          <w:rFonts w:hint="eastAsia" w:asciiTheme="minorEastAsia" w:hAnsiTheme="minorEastAsia" w:cstheme="minorEastAsia"/>
          <w:b/>
          <w:bCs w:val="0"/>
          <w:color w:val="000000" w:themeColor="text1"/>
          <w:sz w:val="28"/>
          <w:szCs w:val="28"/>
          <w:highlight w:val="none"/>
          <w:lang w:val="en-US" w:eastAsia="zh-CN"/>
          <w14:textFill>
            <w14:solidFill>
              <w14:schemeClr w14:val="tx1"/>
            </w14:solidFill>
          </w14:textFill>
        </w:rPr>
        <w:t>（一）</w:t>
      </w:r>
      <w:r>
        <w:rPr>
          <w:rFonts w:hint="eastAsia" w:asciiTheme="minorEastAsia" w:hAnsiTheme="minorEastAsia" w:cstheme="minorEastAsia"/>
          <w:b/>
          <w:bCs w:val="0"/>
          <w:color w:val="000000" w:themeColor="text1"/>
          <w:sz w:val="28"/>
          <w:szCs w:val="28"/>
          <w:highlight w:val="none"/>
          <w:lang w:eastAsia="zh-CN"/>
          <w14:textFill>
            <w14:solidFill>
              <w14:schemeClr w14:val="tx1"/>
            </w14:solidFill>
          </w14:textFill>
        </w:rPr>
        <w:t>合同</w:t>
      </w:r>
      <w:r>
        <w:rPr>
          <w:rFonts w:hint="eastAsia" w:asciiTheme="minorEastAsia" w:hAnsiTheme="minorEastAsia" w:eastAsiaTheme="minorEastAsia" w:cstheme="minorEastAsia"/>
          <w:b/>
          <w:bCs w:val="0"/>
          <w:color w:val="000000" w:themeColor="text1"/>
          <w:sz w:val="28"/>
          <w:szCs w:val="28"/>
          <w:highlight w:val="none"/>
          <w14:textFill>
            <w14:solidFill>
              <w14:schemeClr w14:val="tx1"/>
            </w14:solidFill>
          </w14:textFill>
        </w:rPr>
        <w:t>电量</w:t>
      </w:r>
    </w:p>
    <w:p>
      <w:pPr>
        <w:ind w:firstLine="570"/>
        <w:rPr>
          <w:rFonts w:hint="eastAsia" w:asciiTheme="minorEastAsia" w:hAnsiTheme="minorEastAsia" w:eastAsiaTheme="minorEastAsia" w:cstheme="minorEastAsia"/>
          <w:b w:val="0"/>
          <w:bCs/>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双方约定，</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零售服务期限</w:t>
      </w: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内</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甲方交易单元</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绿电</w:t>
      </w: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交易电量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在甲乙双方已生效的广西电力市场零售服务合同中进行约定，即甲乙双方已生效的常规电能量零售合同电量含绿电交易电量</w:t>
      </w:r>
      <w:r>
        <w:rPr>
          <w:rFonts w:hint="eastAsia" w:asciiTheme="minorEastAsia" w:hAnsiTheme="minorEastAsia" w:cstheme="minorEastAsia"/>
          <w:bCs/>
          <w:color w:val="000000" w:themeColor="text1"/>
          <w:sz w:val="21"/>
          <w:szCs w:val="21"/>
          <w:highlight w:val="none"/>
          <w:u w:val="none"/>
          <w:lang w:val="en-US" w:eastAsia="zh-CN"/>
          <w14:textFill>
            <w14:solidFill>
              <w14:schemeClr w14:val="tx1"/>
            </w14:solidFill>
          </w14:textFill>
        </w:rPr>
        <w:t>。</w:t>
      </w:r>
    </w:p>
    <w:p>
      <w:pPr>
        <w:ind w:firstLine="570"/>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pPr>
      <w:r>
        <w:rPr>
          <w:rFonts w:hint="eastAsia" w:asciiTheme="minorEastAsia" w:hAnsiTheme="minorEastAsia" w:cstheme="minorEastAsia"/>
          <w:b/>
          <w:color w:val="000000" w:themeColor="text1"/>
          <w:sz w:val="28"/>
          <w:szCs w:val="28"/>
          <w:highlight w:val="none"/>
          <w:lang w:val="en-US" w:eastAsia="zh-CN"/>
          <w14:textFill>
            <w14:solidFill>
              <w14:schemeClr w14:val="tx1"/>
            </w14:solidFill>
          </w14:textFill>
        </w:rPr>
        <w:t>（二）</w:t>
      </w: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交易电价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imes New Roman" w:hAnsi="Times New Roman"/>
          <w:b w:val="0"/>
          <w:bCs w:val="0"/>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u w:val="none"/>
          <w:lang w:val="en-US" w:eastAsia="zh-CN"/>
          <w14:textFill>
            <w14:solidFill>
              <w14:schemeClr w14:val="tx1"/>
            </w14:solidFill>
          </w14:textFill>
        </w:rPr>
        <w:t>202</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年</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月至</w:t>
      </w:r>
      <w:r>
        <w:rPr>
          <w:rFonts w:hint="eastAsia" w:ascii="宋体" w:hAnsi="宋体" w:eastAsia="宋体" w:cs="宋体"/>
          <w:b/>
          <w:bCs/>
          <w:color w:val="000000" w:themeColor="text1"/>
          <w:sz w:val="28"/>
          <w:szCs w:val="28"/>
          <w:highlight w:val="none"/>
          <w:u w:val="none"/>
          <w:lang w:val="en-US" w:eastAsia="zh-CN"/>
          <w14:textFill>
            <w14:solidFill>
              <w14:schemeClr w14:val="tx1"/>
            </w14:solidFill>
          </w14:textFill>
        </w:rPr>
        <w:t xml:space="preserve"> </w:t>
      </w:r>
      <w:r>
        <w:rPr>
          <w:rFonts w:hint="eastAsia" w:ascii="宋体" w:hAnsi="宋体" w:cs="宋体"/>
          <w:b/>
          <w:bCs/>
          <w:color w:val="000000" w:themeColor="text1"/>
          <w:sz w:val="28"/>
          <w:szCs w:val="28"/>
          <w:highlight w:val="none"/>
          <w:u w:val="none"/>
          <w:lang w:val="en-US" w:eastAsia="zh-CN"/>
          <w14:textFill>
            <w14:solidFill>
              <w14:schemeClr w14:val="tx1"/>
            </w14:solidFill>
          </w14:textFill>
        </w:rPr>
        <w:t>202</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年</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月</w:t>
      </w:r>
      <w:r>
        <w:rPr>
          <w:rFonts w:hint="eastAsia" w:ascii="宋体" w:hAnsi="宋体" w:cs="宋体"/>
          <w:color w:val="000000" w:themeColor="text1"/>
          <w:sz w:val="28"/>
          <w:szCs w:val="28"/>
          <w:highlight w:val="none"/>
          <w:lang w:val="en-US" w:eastAsia="zh-CN"/>
          <w14:textFill>
            <w14:solidFill>
              <w14:schemeClr w14:val="tx1"/>
            </w14:solidFill>
          </w14:textFill>
        </w:rPr>
        <w:t>（在零售服务期限内）</w:t>
      </w:r>
    </w:p>
    <w:p>
      <w:pPr>
        <w:numPr>
          <w:ilvl w:val="-1"/>
          <w:numId w:val="0"/>
        </w:numPr>
        <w:spacing w:line="580" w:lineRule="exact"/>
        <w:ind w:left="0" w:firstLine="570"/>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双方一致同意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甲方交易单元</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b w:val="0"/>
          <w:bCs w:val="0"/>
          <w:color w:val="000000" w:themeColor="text1"/>
          <w:sz w:val="28"/>
          <w:szCs w:val="28"/>
          <w:highlight w:val="none"/>
          <w:lang w:val="en-US" w:eastAsia="zh-CN"/>
          <w14:textFill>
            <w14:solidFill>
              <w14:schemeClr w14:val="tx1"/>
            </w14:solidFill>
          </w14:textFill>
        </w:rPr>
        <w:t>绿色电力电能量价格按照甲乙双方已生效的</w:t>
      </w:r>
      <w:r>
        <w:rPr>
          <w:rFonts w:hint="eastAsia" w:asciiTheme="minorEastAsia" w:hAnsiTheme="minorEastAsia" w:cstheme="minorEastAsia"/>
          <w:b w:val="0"/>
          <w:bCs/>
          <w:color w:val="000000" w:themeColor="text1"/>
          <w:sz w:val="28"/>
          <w:szCs w:val="28"/>
          <w:highlight w:val="none"/>
          <w:u w:val="none"/>
          <w:lang w:val="en-US" w:eastAsia="zh-CN"/>
          <w14:textFill>
            <w14:solidFill>
              <w14:schemeClr w14:val="tx1"/>
            </w14:solidFill>
          </w14:textFill>
        </w:rPr>
        <w:t>广西电力市场零售服务合同对应月份交易电价</w:t>
      </w:r>
      <w:r>
        <w:rPr>
          <w:rFonts w:hint="eastAsia" w:asciiTheme="minorEastAsia" w:hAnsiTheme="minorEastAsia" w:cstheme="minorEastAsia"/>
          <w:bCs/>
          <w:color w:val="000000" w:themeColor="text1"/>
          <w:sz w:val="28"/>
          <w:szCs w:val="28"/>
          <w:highlight w:val="none"/>
          <w:lang w:val="en-US" w:eastAsia="zh-CN"/>
          <w14:textFill>
            <w14:solidFill>
              <w14:schemeClr w14:val="tx1"/>
            </w14:solidFill>
          </w14:textFill>
        </w:rPr>
        <w:t>进行结算。</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 xml:space="preserve"> </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双方同意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绿色电力环境溢价浮动电费结算套餐按</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（必选项，固定浮动价格电费结算模式、综合固定价格电费模式，任选其一）确定。</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①固定浮动价格电费结算模式</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绿色电力环境溢价固定浮动价格电费模式是指对零售用户月度绿色电力环境溢价对应的电量，在售电公司绿色电力环境溢价基础上额外加收固定浮动价格电费的模式。</w:t>
      </w:r>
    </w:p>
    <w:p>
      <w:pPr>
        <w:numPr>
          <w:ilvl w:val="0"/>
          <w:numId w:val="0"/>
        </w:numPr>
        <w:spacing w:line="580" w:lineRule="exact"/>
        <w:ind w:firstLine="560" w:firstLineChars="200"/>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olor w:val="000000" w:themeColor="text1"/>
          <w:sz w:val="28"/>
          <w:szCs w:val="28"/>
          <w:highlight w:val="none"/>
          <w:lang w:eastAsia="zh-CN"/>
          <w14:textFill>
            <w14:solidFill>
              <w14:schemeClr w14:val="tx1"/>
            </w14:solidFill>
          </w14:textFill>
        </w:rPr>
        <w:t>具体约定为</w:t>
      </w:r>
      <w:r>
        <w:rPr>
          <w:rFonts w:hint="eastAsia" w:ascii="Times New Roman" w:hAnsi="Times New Roman"/>
          <w:color w:val="000000" w:themeColor="text1"/>
          <w:sz w:val="28"/>
          <w:szCs w:val="28"/>
          <w:highlight w:val="none"/>
          <w:lang w:val="en-US" w:eastAsia="zh-CN"/>
          <w14:textFill>
            <w14:solidFill>
              <w14:schemeClr w14:val="tx1"/>
            </w14:solidFill>
          </w14:textFill>
        </w:rPr>
        <w:t>甲乙双方同意在</w:t>
      </w:r>
      <w:r>
        <w:rPr>
          <w:rFonts w:hint="eastAsia" w:ascii="Times New Roman" w:hAnsi="Times New Roman"/>
          <w:color w:val="000000" w:themeColor="text1"/>
          <w:sz w:val="28"/>
          <w:szCs w:val="28"/>
          <w:highlight w:val="none"/>
          <w:lang w:eastAsia="zh-CN"/>
          <w14:textFill>
            <w14:solidFill>
              <w14:schemeClr w14:val="tx1"/>
            </w14:solidFill>
          </w14:textFill>
        </w:rPr>
        <w:t>乙方当月通过市场购买绿证价格加权平均</w:t>
      </w:r>
      <w:r>
        <w:rPr>
          <w:rFonts w:hint="eastAsia" w:ascii="Times New Roman" w:hAnsi="Times New Roman"/>
          <w:color w:val="000000" w:themeColor="text1"/>
          <w:sz w:val="28"/>
          <w:szCs w:val="28"/>
          <w:highlight w:val="none"/>
          <w:lang w:val="en-US" w:eastAsia="zh-CN"/>
          <w14:textFill>
            <w14:solidFill>
              <w14:schemeClr w14:val="tx1"/>
            </w14:solidFill>
          </w14:textFill>
        </w:rPr>
        <w:t>价的</w:t>
      </w:r>
      <w:r>
        <w:rPr>
          <w:rFonts w:hint="eastAsia" w:ascii="Times New Roman" w:hAnsi="Times New Roman"/>
          <w:color w:val="000000" w:themeColor="text1"/>
          <w:sz w:val="28"/>
          <w:szCs w:val="28"/>
          <w:highlight w:val="none"/>
          <w:lang w:eastAsia="zh-CN"/>
          <w14:textFill>
            <w14:solidFill>
              <w14:schemeClr w14:val="tx1"/>
            </w14:solidFill>
          </w14:textFill>
        </w:rPr>
        <w:t>基础上</w:t>
      </w:r>
      <w:r>
        <w:rPr>
          <w:rFonts w:hint="eastAsia" w:ascii="Times New Roman" w:hAnsi="Times New Roman"/>
          <w:color w:val="000000" w:themeColor="text1"/>
          <w:sz w:val="28"/>
          <w:szCs w:val="28"/>
          <w:highlight w:val="none"/>
          <w:lang w:val="en-US" w:eastAsia="zh-CN"/>
          <w14:textFill>
            <w14:solidFill>
              <w14:schemeClr w14:val="tx1"/>
            </w14:solidFill>
          </w14:textFill>
        </w:rPr>
        <w:t>，加收固定浮动价格</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u w:val="none"/>
          <w:lang w:val="en-US" w:eastAsia="zh-CN"/>
          <w14:textFill>
            <w14:solidFill>
              <w14:schemeClr w14:val="tx1"/>
            </w14:solidFill>
          </w14:textFill>
        </w:rPr>
        <w:t>（单位：</w:t>
      </w:r>
      <w:r>
        <w:rPr>
          <w:rFonts w:hint="eastAsia" w:ascii="宋体" w:hAnsi="宋体" w:cs="宋体"/>
          <w:color w:val="000000" w:themeColor="text1"/>
          <w:sz w:val="28"/>
          <w:szCs w:val="28"/>
          <w:highlight w:val="none"/>
          <w:lang w:val="en-US" w:eastAsia="zh-CN"/>
          <w14:textFill>
            <w14:solidFill>
              <w14:schemeClr w14:val="tx1"/>
            </w14:solidFill>
          </w14:textFill>
        </w:rPr>
        <w:t>元/兆瓦时）</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lang w:eastAsia="zh-CN"/>
          <w14:textFill>
            <w14:solidFill>
              <w14:schemeClr w14:val="tx1"/>
            </w14:solidFill>
          </w14:textFill>
        </w:rPr>
        <w:t xml:space="preserve">              </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②综合固定价格电费模式</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绿色电力环境溢价综合固定价格电费模式是指对甲方月度绿色电力环境溢价对应的电量，根据综合固定价格与分配至甲方绿色电力环境溢价的差值收取浮动电费的模式。</w:t>
      </w:r>
    </w:p>
    <w:p>
      <w:pPr>
        <w:numPr>
          <w:ilvl w:val="0"/>
          <w:numId w:val="0"/>
        </w:numPr>
        <w:ind w:firstLine="570"/>
        <w:rPr>
          <w:rFonts w:hint="eastAsia"/>
          <w:lang w:val="en-US" w:eastAsia="zh-CN"/>
        </w:rPr>
      </w:pPr>
      <w:bookmarkStart w:id="96" w:name="_GoBack"/>
      <w:bookmarkEnd w:id="96"/>
      <w:r>
        <w:rPr>
          <w:rFonts w:hint="eastAsia" w:ascii="Times New Roman" w:hAnsi="Times New Roman"/>
          <w:color w:val="000000" w:themeColor="text1"/>
          <w:sz w:val="28"/>
          <w:szCs w:val="28"/>
          <w:highlight w:val="none"/>
          <w:lang w:val="en-US" w:eastAsia="zh-CN"/>
          <w14:textFill>
            <w14:solidFill>
              <w14:schemeClr w14:val="tx1"/>
            </w14:solidFill>
          </w14:textFill>
        </w:rPr>
        <w:t>甲方</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绿色电力环境溢价浮动电费=甲方绿色电力环境溢价对应的电量×（综合固定价格-分配至甲方绿证电量对应的绿色电力环境溢价）。</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p>
    <w:p>
      <w:pPr>
        <w:ind w:firstLine="570"/>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olor w:val="000000" w:themeColor="text1"/>
          <w:sz w:val="28"/>
          <w:szCs w:val="28"/>
          <w:highlight w:val="none"/>
          <w:lang w:eastAsia="zh-CN"/>
          <w14:textFill>
            <w14:solidFill>
              <w14:schemeClr w14:val="tx1"/>
            </w14:solidFill>
          </w14:textFill>
        </w:rPr>
        <w:t>具体约定为</w:t>
      </w:r>
      <w:r>
        <w:rPr>
          <w:rFonts w:hint="eastAsia" w:ascii="Times New Roman" w:hAnsi="Times New Roman"/>
          <w:color w:val="000000" w:themeColor="text1"/>
          <w:sz w:val="28"/>
          <w:szCs w:val="28"/>
          <w:highlight w:val="none"/>
          <w:lang w:val="en-US" w:eastAsia="zh-CN"/>
          <w14:textFill>
            <w14:solidFill>
              <w14:schemeClr w14:val="tx1"/>
            </w14:solidFill>
          </w14:textFill>
        </w:rPr>
        <w:t>甲乙双方同意综合固定价格为</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u w:val="none"/>
          <w:lang w:val="en-US" w:eastAsia="zh-CN"/>
          <w14:textFill>
            <w14:solidFill>
              <w14:schemeClr w14:val="tx1"/>
            </w14:solidFill>
          </w14:textFill>
        </w:rPr>
        <w:t>（单位：</w:t>
      </w:r>
      <w:r>
        <w:rPr>
          <w:rFonts w:hint="eastAsia" w:ascii="宋体" w:hAnsi="宋体" w:cs="宋体"/>
          <w:color w:val="000000" w:themeColor="text1"/>
          <w:sz w:val="28"/>
          <w:szCs w:val="28"/>
          <w:highlight w:val="none"/>
          <w:lang w:val="en-US" w:eastAsia="zh-CN"/>
          <w14:textFill>
            <w14:solidFill>
              <w14:schemeClr w14:val="tx1"/>
            </w14:solidFill>
          </w14:textFill>
        </w:rPr>
        <w:t>元/兆瓦时）</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p>
    <w:p>
      <w:pPr>
        <w:spacing w:line="580" w:lineRule="exact"/>
        <w:ind w:firstLine="570"/>
        <w:rPr>
          <w:rFonts w:hint="default" w:asciiTheme="minorEastAsia" w:hAnsiTheme="minorEastAsia" w:cstheme="minorEastAsia"/>
          <w:b w:val="0"/>
          <w:bCs w:val="0"/>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4.3 对于乙方当月购买到的绿证，甲方同意与乙方代理的绿色电力用户对绿证分配方式为：</w:t>
      </w:r>
      <w:r>
        <w:rPr>
          <w:rFonts w:hint="eastAsia" w:asciiTheme="minorEastAsia" w:hAnsi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8"/>
          <w:szCs w:val="28"/>
          <w:highlight w:val="none"/>
          <w:u w:val="none"/>
          <w:lang w:val="en-US" w:eastAsia="zh-CN"/>
          <w14:textFill>
            <w14:solidFill>
              <w14:schemeClr w14:val="tx1"/>
            </w14:solidFill>
          </w14:textFill>
        </w:rPr>
        <w:t>。</w:t>
      </w:r>
    </w:p>
    <w:p>
      <w:pPr>
        <w:ind w:firstLine="560"/>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4.4本合同结算其他未尽事宜，以甲乙双方已生效的广西电力市场零售服务合同中约定为准。</w:t>
      </w:r>
    </w:p>
    <w:p>
      <w:pPr>
        <w:ind w:firstLine="560"/>
        <w:rPr>
          <w:rFonts w:hint="eastAsia" w:asciiTheme="minorEastAsia" w:hAnsiTheme="minorEastAsia" w:eastAsia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4.5</w:t>
      </w:r>
      <w:r>
        <w:rPr>
          <w:rFonts w:asciiTheme="minorEastAsia" w:hAnsiTheme="minorEastAsia" w:eastAsiaTheme="minorEastAsia"/>
          <w:color w:val="000000" w:themeColor="text1"/>
          <w:sz w:val="28"/>
          <w:szCs w:val="28"/>
          <w:highlight w:val="none"/>
          <w14:textFill>
            <w14:solidFill>
              <w14:schemeClr w14:val="tx1"/>
            </w14:solidFill>
          </w14:textFill>
        </w:rPr>
        <w:t>银行及账号</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开户名称：</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开户银行：</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账号：</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开户名称：</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开户银行：</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账号：</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color w:val="000000" w:themeColor="text1"/>
          <w:sz w:val="28"/>
          <w:szCs w:val="28"/>
          <w:highlight w:val="none"/>
          <w:lang w:val="en-US" w:eastAsia="zh-CN"/>
          <w14:textFill>
            <w14:solidFill>
              <w14:schemeClr w14:val="tx1"/>
            </w14:solidFill>
          </w14:textFill>
        </w:rPr>
      </w:pPr>
      <w:bookmarkStart w:id="43" w:name="_Toc9467_WPSOffice_Level1"/>
      <w:bookmarkStart w:id="44" w:name="_Toc9031"/>
      <w:bookmarkStart w:id="45" w:name="_Toc4354"/>
      <w:r>
        <w:rPr>
          <w:rFonts w:hint="eastAsia" w:asciiTheme="minorEastAsia" w:hAnsiTheme="minorEastAsia"/>
          <w:color w:val="000000" w:themeColor="text1"/>
          <w:sz w:val="28"/>
          <w:szCs w:val="28"/>
          <w:highlight w:val="none"/>
          <w:lang w:val="en-US" w:eastAsia="zh-CN"/>
          <w14:textFill>
            <w14:solidFill>
              <w14:schemeClr w14:val="tx1"/>
            </w14:solidFill>
          </w14:textFill>
        </w:rPr>
        <w:t>4.6 各方的银行及账号如有变更，应及时在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val="en-US" w:eastAsia="zh-CN"/>
          <w14:textFill>
            <w14:solidFill>
              <w14:schemeClr w14:val="tx1"/>
            </w14:solidFill>
          </w14:textFill>
        </w:rPr>
        <w:t>企业基本信息中进行修改；必要时，应通过书面形式及时告知相关方。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r>
        <w:rPr>
          <w:rFonts w:hint="eastAsia" w:ascii="黑体" w:hAnsi="黑体" w:eastAsia="黑体" w:cs="黑体"/>
          <w:color w:val="000000" w:themeColor="text1"/>
          <w:sz w:val="30"/>
          <w:szCs w:val="30"/>
          <w:highlight w:val="none"/>
          <w:lang w:val="en-US" w:eastAsia="zh-CN"/>
          <w14:textFill>
            <w14:solidFill>
              <w14:schemeClr w14:val="tx1"/>
            </w14:solidFill>
          </w14:textFill>
        </w:rPr>
        <w:t>第5章　电能计量</w:t>
      </w:r>
      <w:bookmarkEnd w:id="41"/>
      <w:bookmarkEnd w:id="42"/>
      <w:bookmarkEnd w:id="43"/>
      <w:bookmarkEnd w:id="44"/>
      <w:bookmarkEnd w:id="45"/>
    </w:p>
    <w:p>
      <w:pPr>
        <w:spacing w:line="240" w:lineRule="auto"/>
        <w:ind w:firstLine="560" w:firstLineChars="200"/>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5.1电力交易</w:t>
      </w:r>
      <w:r>
        <w:rPr>
          <w:rFonts w:hint="eastAsia" w:asciiTheme="minorEastAsia" w:hAnsiTheme="minorEastAsia" w:eastAsiaTheme="minorEastAsia"/>
          <w:color w:val="000000" w:themeColor="text1"/>
          <w:sz w:val="28"/>
          <w:szCs w:val="28"/>
          <w:highlight w:val="none"/>
          <w14:textFill>
            <w14:solidFill>
              <w14:schemeClr w14:val="tx1"/>
            </w14:solidFill>
          </w14:textFill>
        </w:rPr>
        <w:t>结算电量</w:t>
      </w:r>
      <w:r>
        <w:rPr>
          <w:rFonts w:hint="default" w:asciiTheme="minorEastAsia" w:hAnsiTheme="minorEastAsia"/>
          <w:color w:val="000000" w:themeColor="text1"/>
          <w:sz w:val="28"/>
          <w:szCs w:val="28"/>
          <w:highlight w:val="none"/>
          <w:lang w:eastAsia="zh-CN"/>
          <w14:textFill>
            <w14:solidFill>
              <w14:schemeClr w14:val="tx1"/>
            </w14:solidFill>
          </w14:textFill>
        </w:rPr>
        <w:t>计量点</w:t>
      </w:r>
      <w:r>
        <w:rPr>
          <w:rFonts w:hint="eastAsia" w:asciiTheme="minorEastAsia" w:hAnsiTheme="minorEastAsia" w:eastAsiaTheme="minorEastAsia"/>
          <w:color w:val="000000" w:themeColor="text1"/>
          <w:sz w:val="28"/>
          <w:szCs w:val="28"/>
          <w:highlight w:val="none"/>
          <w14:textFill>
            <w14:solidFill>
              <w14:schemeClr w14:val="tx1"/>
            </w14:solidFill>
          </w14:textFill>
        </w:rPr>
        <w:t>以</w:t>
      </w:r>
      <w:r>
        <w:rPr>
          <w:rFonts w:hint="default"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与</w:t>
      </w:r>
      <w:r>
        <w:rPr>
          <w:rFonts w:hint="default" w:asciiTheme="minorEastAsia" w:hAnsiTheme="minorEastAsia"/>
          <w:color w:val="000000" w:themeColor="text1"/>
          <w:sz w:val="28"/>
          <w:szCs w:val="28"/>
          <w:highlight w:val="none"/>
          <w:lang w:eastAsia="zh-CN"/>
          <w14:textFill>
            <w14:solidFill>
              <w14:schemeClr w14:val="tx1"/>
            </w14:solidFill>
          </w14:textFill>
        </w:rPr>
        <w:t>电网企业</w:t>
      </w:r>
      <w:r>
        <w:rPr>
          <w:rFonts w:asciiTheme="minorEastAsia" w:hAnsiTheme="minorEastAsia" w:eastAsiaTheme="minorEastAsia"/>
          <w:color w:val="000000" w:themeColor="text1"/>
          <w:sz w:val="28"/>
          <w:szCs w:val="28"/>
          <w:highlight w:val="none"/>
          <w14:textFill>
            <w14:solidFill>
              <w14:schemeClr w14:val="tx1"/>
            </w14:solidFill>
          </w14:textFill>
        </w:rPr>
        <w:t>签订的《供用电合同》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约定的电能计量装置关口表安装位置为准</w:t>
      </w:r>
      <w:r>
        <w:rPr>
          <w:rFonts w:asciiTheme="minorEastAsia" w:hAnsiTheme="minorEastAsia" w:eastAsiaTheme="minorEastAsia"/>
          <w:color w:val="000000" w:themeColor="text1"/>
          <w:sz w:val="28"/>
          <w:szCs w:val="28"/>
          <w:highlight w:val="none"/>
          <w14:textFill>
            <w14:solidFill>
              <w14:schemeClr w14:val="tx1"/>
            </w14:solidFill>
          </w14:textFill>
        </w:rPr>
        <w:t>。</w:t>
      </w:r>
    </w:p>
    <w:p>
      <w:pPr>
        <w:ind w:firstLine="560" w:firstLineChars="20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5.2电力交易涉及的电能计量装置、电能计量装置校验要求和计量装置异常处理办法按</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与</w:t>
      </w:r>
      <w:r>
        <w:rPr>
          <w:rFonts w:hint="eastAsia" w:asciiTheme="minorEastAsia" w:hAnsiTheme="minorEastAsia"/>
          <w:color w:val="000000" w:themeColor="text1"/>
          <w:sz w:val="28"/>
          <w:szCs w:val="28"/>
          <w:highlight w:val="none"/>
          <w:lang w:eastAsia="zh-CN"/>
          <w14:textFill>
            <w14:solidFill>
              <w14:schemeClr w14:val="tx1"/>
            </w14:solidFill>
          </w14:textFill>
        </w:rPr>
        <w:t>电网企业</w:t>
      </w:r>
      <w:r>
        <w:rPr>
          <w:rFonts w:asciiTheme="minorEastAsia" w:hAnsiTheme="minorEastAsia" w:eastAsiaTheme="minorEastAsia"/>
          <w:color w:val="000000" w:themeColor="text1"/>
          <w:sz w:val="28"/>
          <w:szCs w:val="28"/>
          <w:highlight w:val="none"/>
          <w14:textFill>
            <w14:solidFill>
              <w14:schemeClr w14:val="tx1"/>
            </w14:solidFill>
          </w14:textFill>
        </w:rPr>
        <w:t>签订的《供用电合同》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约定执行。</w:t>
      </w:r>
    </w:p>
    <w:p>
      <w:pPr>
        <w:ind w:firstLine="564"/>
        <w:rPr>
          <w:rFonts w:hint="eastAsia"/>
        </w:rPr>
      </w:pP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.3本合同履行期间，若电能计量点发生变更，各方应以书面方式对计量点变更情况进行确认</w:t>
      </w:r>
      <w:r>
        <w:rPr>
          <w:rFonts w:asciiTheme="minorEastAsia" w:hAnsiTheme="minorEastAsia" w:eastAsiaTheme="minorEastAsia"/>
          <w:sz w:val="28"/>
          <w:szCs w:val="28"/>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46" w:name="_Toc732"/>
      <w:bookmarkStart w:id="47" w:name="_Toc6974"/>
      <w:bookmarkStart w:id="48" w:name="_Toc14445"/>
      <w:bookmarkStart w:id="49" w:name="_Toc31539"/>
      <w:bookmarkStart w:id="50" w:name="_Toc31951"/>
      <w:bookmarkStart w:id="51" w:name="_Toc26866"/>
      <w:bookmarkStart w:id="52" w:name="_Toc22079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第6章  合同生效</w:t>
      </w:r>
      <w:bookmarkEnd w:id="46"/>
      <w:bookmarkEnd w:id="47"/>
      <w:r>
        <w:rPr>
          <w:rFonts w:hint="eastAsia" w:ascii="黑体" w:hAnsi="黑体" w:eastAsia="黑体" w:cs="黑体"/>
          <w:color w:val="000000" w:themeColor="text1"/>
          <w:sz w:val="30"/>
          <w:szCs w:val="30"/>
          <w:highlight w:val="none"/>
          <w:lang w:val="en-US" w:eastAsia="zh-CN"/>
          <w14:textFill>
            <w14:solidFill>
              <w14:schemeClr w14:val="tx1"/>
            </w14:solidFill>
          </w14:textFill>
        </w:rPr>
        <w:t>和期限</w:t>
      </w:r>
      <w:bookmarkEnd w:id="48"/>
      <w:bookmarkEnd w:id="49"/>
      <w:bookmarkEnd w:id="50"/>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53" w:name="_Toc20087"/>
      <w:bookmarkStart w:id="54" w:name="_Toc15775"/>
      <w:bookmarkStart w:id="55" w:name="_Toc20282"/>
      <w:bookmarkStart w:id="56" w:name="_Toc10340"/>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6.1 本合同的生效条件：本合同甲、乙两方通过电力交易平台线上加盖电子印章后生效。</w:t>
      </w:r>
    </w:p>
    <w:p>
      <w:pPr>
        <w:spacing w:line="600" w:lineRule="exact"/>
        <w:ind w:firstLine="641"/>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6.2</w:t>
      </w:r>
      <w:r>
        <w:rPr>
          <w:rFonts w:hint="eastAsia" w:asciiTheme="minorEastAsia" w:hAnsiTheme="minorEastAsia" w:eastAsiaTheme="minorEastAsia"/>
          <w:color w:val="000000" w:themeColor="text1"/>
          <w:sz w:val="28"/>
          <w:szCs w:val="28"/>
          <w:lang w:eastAsia="zh-CN"/>
          <w14:textFill>
            <w14:solidFill>
              <w14:schemeClr w14:val="tx1"/>
            </w14:solidFill>
          </w14:textFill>
        </w:rPr>
        <w:t>本合同有效期：自</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月至</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57" w:name="_Toc29913_WPSOffice_Level1"/>
      <w:bookmarkStart w:id="58" w:name="_Toc16301"/>
      <w:bookmarkStart w:id="59" w:name="_Toc6788"/>
      <w:r>
        <w:rPr>
          <w:rFonts w:hint="eastAsia" w:ascii="黑体" w:hAnsi="黑体" w:eastAsia="黑体" w:cs="黑体"/>
          <w:color w:val="000000" w:themeColor="text1"/>
          <w:sz w:val="30"/>
          <w:szCs w:val="30"/>
          <w:highlight w:val="none"/>
          <w:lang w:val="en-US" w:eastAsia="zh-CN"/>
          <w14:textFill>
            <w14:solidFill>
              <w14:schemeClr w14:val="tx1"/>
            </w14:solidFill>
          </w14:textFill>
        </w:rPr>
        <w:t>第7章  合同变更</w:t>
      </w:r>
      <w:bookmarkEnd w:id="53"/>
      <w:bookmarkEnd w:id="54"/>
      <w:bookmarkEnd w:id="55"/>
      <w:bookmarkEnd w:id="56"/>
      <w:bookmarkEnd w:id="57"/>
      <w:r>
        <w:rPr>
          <w:rFonts w:hint="eastAsia" w:ascii="黑体" w:hAnsi="黑体" w:eastAsia="黑体" w:cs="黑体"/>
          <w:color w:val="000000" w:themeColor="text1"/>
          <w:sz w:val="30"/>
          <w:szCs w:val="30"/>
          <w:highlight w:val="none"/>
          <w:lang w:val="en-US" w:eastAsia="zh-CN"/>
          <w14:textFill>
            <w14:solidFill>
              <w14:schemeClr w14:val="tx1"/>
            </w14:solidFill>
          </w14:textFill>
        </w:rPr>
        <w:t>和解除</w:t>
      </w:r>
      <w:bookmarkEnd w:id="58"/>
      <w:bookmarkEnd w:id="59"/>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60" w:name="_Toc7393"/>
      <w:bookmarkStart w:id="61" w:name="_Toc21316"/>
      <w:bookmarkStart w:id="62" w:name="_Toc18411"/>
      <w:bookmarkStart w:id="63" w:name="_Toc4702"/>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7.1本合同的任何修改、补充或变更必须以书面的形式进行，双方加盖公章后方为有效。</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560" w:firstLineChars="200"/>
        <w:jc w:val="both"/>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一方发生下列事件，则</w:t>
      </w:r>
      <w:r>
        <w:rPr>
          <w:rFonts w:hint="eastAsia" w:asciiTheme="minorEastAsia" w:hAnsiTheme="minorEastAsia"/>
          <w:color w:val="000000" w:themeColor="text1"/>
          <w:sz w:val="28"/>
          <w:szCs w:val="28"/>
          <w:highlight w:val="none"/>
          <w:lang w:val="en-US" w:eastAsia="zh-CN"/>
          <w14:textFill>
            <w14:solidFill>
              <w14:schemeClr w14:val="tx1"/>
            </w14:solidFill>
          </w14:textFill>
        </w:rPr>
        <w:t>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方有权在发出解除通知后解除本合同：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）一方被申请破产、清算或被吊销营业执照；</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）一方被政府有关部门和社会组织依法依规对其他领域失信行为做出处理；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广西电力市场主体被政府主管部门、监管机构认定的不适于继续参与电力市场化交易的</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p>
    <w:p>
      <w:pPr>
        <w:pStyle w:val="2"/>
        <w:spacing w:before="0" w:after="0"/>
        <w:ind w:left="0" w:firstLine="560" w:firstLineChars="200"/>
        <w:jc w:val="both"/>
        <w:rPr>
          <w:rFonts w:hint="eastAsia" w:asciiTheme="minorEastAsia" w:hAnsiTheme="minorEastAsia" w:eastAsiaTheme="minorEastAsia" w:cstheme="minorBidi"/>
          <w:b w:val="0"/>
          <w:bCs w:val="0"/>
          <w:color w:val="000000" w:themeColor="text1"/>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Bidi"/>
          <w:b w:val="0"/>
          <w:bCs w:val="0"/>
          <w:color w:val="000000" w:themeColor="text1"/>
          <w:sz w:val="28"/>
          <w:szCs w:val="28"/>
          <w:highlight w:val="none"/>
          <w:lang w:val="en-US" w:eastAsia="zh-CN" w:bidi="ar-SA"/>
          <w14:textFill>
            <w14:solidFill>
              <w14:schemeClr w14:val="tx1"/>
            </w14:solidFill>
          </w14:textFill>
        </w:rPr>
        <w:t>（4）其他。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满足解除合同条件的</w:t>
      </w:r>
      <w:r>
        <w:rPr>
          <w:rFonts w:hint="eastAsia" w:asciiTheme="minorEastAsia" w:hAnsiTheme="minorEastAsia"/>
          <w:color w:val="000000" w:themeColor="text1"/>
          <w:sz w:val="28"/>
          <w:szCs w:val="28"/>
          <w:highlight w:val="none"/>
          <w:lang w:val="en-US" w:eastAsia="zh-CN"/>
          <w14:textFill>
            <w14:solidFill>
              <w14:schemeClr w14:val="tx1"/>
            </w14:solidFill>
          </w14:textFill>
        </w:rPr>
        <w:t>（含双方协商一致）</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可解除本合同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5</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双方不得擅自终止、解除本合同。如果因一方过错导致合同解除，则过错方应赔偿对方因此而遭受的损失。</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64" w:name="_Toc14569"/>
      <w:bookmarkStart w:id="65" w:name="_Toc7997"/>
      <w:bookmarkStart w:id="66" w:name="_Toc19335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第8章　合同违约和赔偿</w:t>
      </w:r>
      <w:bookmarkEnd w:id="60"/>
      <w:bookmarkEnd w:id="61"/>
      <w:bookmarkEnd w:id="62"/>
      <w:bookmarkEnd w:id="63"/>
      <w:bookmarkEnd w:id="64"/>
      <w:bookmarkEnd w:id="65"/>
      <w:bookmarkEnd w:id="66"/>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67" w:name="_Toc16465"/>
      <w:bookmarkStart w:id="68" w:name="_Toc11572"/>
      <w:bookmarkStart w:id="69" w:name="_Toc8058"/>
      <w:bookmarkStart w:id="70" w:name="_Toc13696"/>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 xml:space="preserve">8.1任一方违反本合同约定条款视为违约，合同另一方有权要求违约方赔偿违约造成的经济损失。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8.2.1违约行为发生后，除非守约方提出书面要求解除合同，否则违约方应继续履行合同，并承担采取补救措施、支付违约金等违约责任。违约方在履行义务、采取补救措施或者支付违约金后,不足以弥补守约方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 xml:space="preserve">8.2.2在本合同履行期限届满之前，任一方明确表示或以自己的行为表明不履行合同义务的，另一方可在履行期限届满前解除合同并要求对方承担相应的违约责任，因不可抗力导致除外。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8.3违约赔偿</w:t>
      </w:r>
    </w:p>
    <w:p>
      <w:pPr>
        <w:ind w:firstLine="564"/>
        <w:rPr>
          <w:rFonts w:hint="eastAsia"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8.3.1</w:t>
      </w:r>
      <w:r>
        <w:rPr>
          <w:rFonts w:hint="eastAsia" w:ascii="宋体" w:hAnsi="宋体"/>
          <w:color w:val="000000" w:themeColor="text1"/>
          <w:sz w:val="28"/>
          <w:szCs w:val="28"/>
          <w:highlight w:val="none"/>
          <w14:textFill>
            <w14:solidFill>
              <w14:schemeClr w14:val="tx1"/>
            </w14:solidFill>
          </w14:textFill>
        </w:rPr>
        <w:t>本合同签订后，在同一零售服务期限内甲方不得再与其他企业签订同类的合同或协议。因甲方原因导致本协议部分或全部不能履约时，甲方应向乙方支付违约金人民币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万元，违约金不足以弥补乙方损失的，应补足；因乙方原因导致本协议部分或全部不能履约时，乙方应向甲方支付违约金人民币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万元，违约金不足以弥补甲方损失的，应补足。</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8.3.2如发生提交虚假信息、停产、变更、退市等行为，影响合同履行的，违约方赔偿守约方其行为造成守约方的一切直接及间接损失。</w:t>
      </w:r>
    </w:p>
    <w:p>
      <w:pPr>
        <w:adjustRightInd/>
        <w:snapToGrid/>
        <w:spacing w:line="240" w:lineRule="auto"/>
        <w:ind w:firstLine="641"/>
        <w:outlineLvl w:val="9"/>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u w:val="none"/>
          <w:lang w:val="en-US" w:eastAsia="zh-CN"/>
          <w14:textFill>
            <w14:solidFill>
              <w14:schemeClr w14:val="tx1"/>
            </w14:solidFill>
          </w14:textFill>
        </w:rPr>
        <w:t>8.</w:t>
      </w: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4</w:t>
      </w: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除本合同其他各章约定以外，双方约定：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color w:val="000000" w:themeColor="text1"/>
          <w:kern w:val="2"/>
          <w:sz w:val="28"/>
          <w:szCs w:val="28"/>
          <w:highlight w:val="none"/>
          <w:u w:val="single"/>
          <w14:textFill>
            <w14:solidFill>
              <w14:schemeClr w14:val="tx1"/>
            </w14:solidFill>
          </w14:textFill>
        </w:rPr>
      </w:pP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甲方应当承担的违约责任还包括：</w:t>
      </w:r>
      <w:r>
        <w:rPr>
          <w:rFonts w:hint="eastAsia" w:asciiTheme="minorEastAsia" w:hAnsiTheme="minorEastAsia" w:eastAsiaTheme="minorEastAsia" w:cstheme="minorEastAsia"/>
          <w:color w:val="000000" w:themeColor="text1"/>
          <w:sz w:val="28"/>
          <w:szCs w:val="28"/>
          <w:highlight w:val="none"/>
          <w:u w:val="single"/>
          <w14:textFill>
            <w14:solidFill>
              <w14:schemeClr w14:val="tx1"/>
            </w14:solidFill>
          </w14:textFill>
        </w:rPr>
        <w:t>　          　</w:t>
      </w:r>
      <w:r>
        <w:rPr>
          <w:rFonts w:hint="eastAsia" w:asciiTheme="minorEastAsia" w:hAnsiTheme="minorEastAsia" w:eastAsiaTheme="minorEastAsia" w:cstheme="minorEastAsia"/>
          <w:color w:val="000000" w:themeColor="text1"/>
          <w:sz w:val="28"/>
          <w:szCs w:val="28"/>
          <w:highlight w:val="none"/>
          <w:u w:val="none"/>
          <w14:textFill>
            <w14:solidFill>
              <w14:schemeClr w14:val="tx1"/>
            </w14:solidFill>
          </w14:textFill>
        </w:rPr>
        <w:t>。</w:t>
      </w:r>
    </w:p>
    <w:p>
      <w:pPr>
        <w:ind w:firstLine="641"/>
        <w:outlineLvl w:val="9"/>
        <w:rPr>
          <w:rFonts w:hint="eastAsia" w:asciiTheme="minorEastAsia" w:hAnsiTheme="minorEastAsia" w:eastAsia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乙方应当承担的违约责任还包括：</w:t>
      </w:r>
      <w:r>
        <w:rPr>
          <w:rFonts w:hint="eastAsia" w:asciiTheme="minorEastAsia" w:hAnsiTheme="minorEastAsia" w:eastAsiaTheme="minorEastAsia" w:cstheme="minorEastAsia"/>
          <w:color w:val="000000" w:themeColor="text1"/>
          <w:sz w:val="28"/>
          <w:szCs w:val="28"/>
          <w:highlight w:val="none"/>
          <w:u w:val="single"/>
          <w14:textFill>
            <w14:solidFill>
              <w14:schemeClr w14:val="tx1"/>
            </w14:solidFill>
          </w14:textFill>
        </w:rPr>
        <w:t>　          　</w:t>
      </w:r>
      <w:r>
        <w:rPr>
          <w:rFonts w:hint="eastAsia" w:asciiTheme="minorEastAsia" w:hAnsiTheme="minorEastAsia" w:eastAsiaTheme="minorEastAsia" w:cstheme="minorEastAsia"/>
          <w:color w:val="000000" w:themeColor="text1"/>
          <w:sz w:val="28"/>
          <w:szCs w:val="28"/>
          <w:highlight w:val="none"/>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8.5除另有约定外，一旦发生任一方未能履行本合同项下的任何义务的情况，守约方可向违约方发出有关违约的书面通知，如果在通知发出后5个工作日内，违约方仍未纠正其违约的，守约方有权单方解除合同，并要求违约方承担相应的违约责任。</w:t>
      </w:r>
    </w:p>
    <w:bookmarkEnd w:id="67"/>
    <w:bookmarkEnd w:id="68"/>
    <w:bookmarkEnd w:id="69"/>
    <w:bookmarkEnd w:id="70"/>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71" w:name="_Toc26569"/>
      <w:bookmarkStart w:id="72" w:name="_Toc22786"/>
      <w:bookmarkStart w:id="73" w:name="_Toc26287"/>
      <w:bookmarkStart w:id="74" w:name="_Toc1141"/>
      <w:bookmarkStart w:id="75" w:name="_Toc12100"/>
      <w:bookmarkStart w:id="76" w:name="_Toc29021_WPSOffice_Level1"/>
      <w:bookmarkStart w:id="77" w:name="_Toc5434"/>
      <w:r>
        <w:rPr>
          <w:rFonts w:hint="eastAsia" w:ascii="黑体" w:hAnsi="黑体" w:eastAsia="黑体" w:cs="黑体"/>
          <w:color w:val="000000" w:themeColor="text1"/>
          <w:sz w:val="30"/>
          <w:szCs w:val="30"/>
          <w:highlight w:val="none"/>
          <w:lang w:val="en-US" w:eastAsia="zh-CN"/>
          <w14:textFill>
            <w14:solidFill>
              <w14:schemeClr w14:val="tx1"/>
            </w14:solidFill>
          </w14:textFill>
        </w:rPr>
        <w:t>第9章　免责条款</w:t>
      </w:r>
      <w:bookmarkEnd w:id="71"/>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bookmarkStart w:id="78" w:name="_Toc4316"/>
      <w:bookmarkStart w:id="79" w:name="_Toc21253"/>
      <w:bookmarkStart w:id="80" w:name="_Toc667"/>
      <w:bookmarkStart w:id="81" w:name="_Toc9782"/>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.2若</w:t>
      </w: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因不可抗力而不能履行本合同，则该方应尽快书面通知对方。该通知书应说明不可抗力的发生日期和预计持续时间、事件性质、对该方履行本合同影响及该方为减少不可抗力影响所采取的措施。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.3受不可抗力影响一方应采取合理的措施，以减少因不可抗力给合同</w:t>
      </w:r>
      <w:r>
        <w:rPr>
          <w:rFonts w:hint="eastAsia" w:asciiTheme="minorEastAsia" w:hAnsiTheme="minorEastAsia"/>
          <w:color w:val="000000" w:themeColor="text1"/>
          <w:sz w:val="28"/>
          <w:szCs w:val="28"/>
          <w:highlight w:val="none"/>
          <w:lang w:val="en-US" w:eastAsia="zh-CN"/>
          <w14:textFill>
            <w14:solidFill>
              <w14:schemeClr w14:val="tx1"/>
            </w14:solidFill>
          </w14:textFill>
        </w:rPr>
        <w:t>对方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带来的损失。</w:t>
      </w:r>
      <w:r>
        <w:rPr>
          <w:rFonts w:hint="eastAsia" w:asciiTheme="minorEastAsia" w:hAnsiTheme="minorEastAsia"/>
          <w:color w:val="000000" w:themeColor="text1"/>
          <w:sz w:val="28"/>
          <w:szCs w:val="28"/>
          <w:highlight w:val="none"/>
          <w:lang w:val="en-US" w:eastAsia="zh-CN"/>
          <w14:textFill>
            <w14:solidFill>
              <w14:schemeClr w14:val="tx1"/>
            </w14:solidFill>
          </w14:textFill>
        </w:rPr>
        <w:t>双方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应及时协商制定并实施补救计划及合理的替代措施以减少或消除不可抗力的影响。如果受不可抗力影响的一方未能</w:t>
      </w:r>
      <w:r>
        <w:rPr>
          <w:rFonts w:hint="eastAsia" w:asciiTheme="minorEastAsia" w:hAnsiTheme="minorEastAsia"/>
          <w:color w:val="000000" w:themeColor="text1"/>
          <w:sz w:val="28"/>
          <w:szCs w:val="28"/>
          <w:highlight w:val="none"/>
          <w:lang w:val="en-US" w:eastAsia="zh-CN"/>
          <w14:textFill>
            <w14:solidFill>
              <w14:schemeClr w14:val="tx1"/>
            </w14:solidFill>
          </w14:textFill>
        </w:rPr>
        <w:t>履行其应尽义务</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采取合理措施导致损失扩大，则该方应承担由此扩大</w:t>
      </w:r>
      <w:r>
        <w:rPr>
          <w:rFonts w:hint="eastAsia" w:asciiTheme="minorEastAsia" w:hAnsiTheme="minorEastAsia"/>
          <w:color w:val="000000" w:themeColor="text1"/>
          <w:sz w:val="28"/>
          <w:szCs w:val="28"/>
          <w:highlight w:val="none"/>
          <w:lang w:val="en-US" w:eastAsia="zh-CN"/>
          <w14:textFill>
            <w14:solidFill>
              <w14:schemeClr w14:val="tx1"/>
            </w14:solidFill>
          </w14:textFill>
        </w:rPr>
        <w:t>造成</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如果自不可抗力发生后 30 日内，双方不能就继续履行合同的条件或解除本合同达成一致意见，</w:t>
      </w:r>
      <w:r>
        <w:rPr>
          <w:rFonts w:hint="eastAsia" w:asciiTheme="minorEastAsia" w:hAnsiTheme="minorEastAsia"/>
          <w:color w:val="000000" w:themeColor="text1"/>
          <w:sz w:val="28"/>
          <w:szCs w:val="28"/>
          <w:highlight w:val="none"/>
          <w:lang w:val="en-US" w:eastAsia="zh-CN"/>
          <w14:textFill>
            <w14:solidFill>
              <w14:schemeClr w14:val="tx1"/>
            </w14:solidFill>
          </w14:textFill>
        </w:rPr>
        <w:t>任</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一方有权书面通知对方解除本合同。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82" w:name="_Toc12912_WPSOffice_Level1"/>
      <w:bookmarkStart w:id="83" w:name="_Toc31617"/>
      <w:bookmarkStart w:id="84" w:name="_Toc32172"/>
      <w:r>
        <w:rPr>
          <w:rFonts w:hint="eastAsia" w:ascii="黑体" w:hAnsi="黑体" w:eastAsia="黑体" w:cs="黑体"/>
          <w:color w:val="000000" w:themeColor="text1"/>
          <w:sz w:val="30"/>
          <w:szCs w:val="30"/>
          <w:highlight w:val="none"/>
          <w:lang w:val="en-US" w:eastAsia="zh-CN"/>
          <w14:textFill>
            <w14:solidFill>
              <w14:schemeClr w14:val="tx1"/>
            </w14:solidFill>
          </w14:textFill>
        </w:rPr>
        <w:t>第10章　争议的解决</w:t>
      </w:r>
      <w:bookmarkEnd w:id="78"/>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bookmarkStart w:id="85" w:name="_Toc28190"/>
      <w:bookmarkStart w:id="86" w:name="_Toc26351"/>
      <w:bookmarkStart w:id="87" w:name="_Toc13698"/>
      <w:bookmarkStart w:id="88" w:name="_Toc2641"/>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0</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 凡因执行本合同所发生的与本合同有关的一切争议，双方应协商解决，也可提请电力监管机构和政府主管部门</w:t>
      </w:r>
      <w:r>
        <w:rPr>
          <w:rFonts w:hint="eastAsia" w:asciiTheme="minorEastAsia" w:hAnsiTheme="minorEastAsia"/>
          <w:color w:val="000000" w:themeColor="text1"/>
          <w:sz w:val="28"/>
          <w:szCs w:val="28"/>
          <w:highlight w:val="none"/>
          <w:lang w:val="en-US" w:eastAsia="zh-CN"/>
          <w14:textFill>
            <w14:solidFill>
              <w14:schemeClr w14:val="tx1"/>
            </w14:solidFill>
          </w14:textFill>
        </w:rPr>
        <w:t>进行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调解。协商或调解不成的，任一方依法提请</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olor w:val="000000" w:themeColor="text1"/>
          <w:sz w:val="28"/>
          <w:szCs w:val="28"/>
          <w:highlight w:val="none"/>
          <w:lang w:val="en-US" w:eastAsia="zh-CN"/>
          <w14:textFill>
            <w14:solidFill>
              <w14:schemeClr w14:val="tx1"/>
            </w14:solidFill>
          </w14:textFill>
        </w:rPr>
        <w:t>所在地</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有管辖权的人民法院通过诉讼程序解决。</w:t>
      </w:r>
    </w:p>
    <w:p>
      <w:pPr>
        <w:adjustRightInd w:val="0"/>
        <w:snapToGrid w:val="0"/>
        <w:spacing w:line="588" w:lineRule="exac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lang w:val="en-US" w:eastAsia="zh-CN"/>
          <w14:textFill>
            <w14:solidFill>
              <w14:schemeClr w14:val="tx1"/>
            </w14:solidFill>
          </w14:textFill>
        </w:rPr>
        <w:t>0</w:t>
      </w:r>
      <w:r>
        <w:rPr>
          <w:rFonts w:hint="eastAsia" w:ascii="宋体" w:hAnsi="宋体" w:eastAsia="宋体" w:cs="宋体"/>
          <w:color w:val="000000" w:themeColor="text1"/>
          <w:sz w:val="28"/>
          <w:szCs w:val="28"/>
          <w14:textFill>
            <w14:solidFill>
              <w14:schemeClr w14:val="tx1"/>
            </w14:solidFill>
          </w14:textFill>
        </w:rPr>
        <w:t>.2在争议解决期间，合同中未涉及争议部分的条款仍需履行。</w:t>
      </w:r>
    </w:p>
    <w:bookmarkEnd w:id="85"/>
    <w:bookmarkEnd w:id="86"/>
    <w:bookmarkEnd w:id="87"/>
    <w:bookmarkEnd w:id="88"/>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89" w:name="_Toc3981"/>
      <w:bookmarkStart w:id="90" w:name="_Toc7555"/>
      <w:bookmarkStart w:id="91" w:name="_Toc17584"/>
      <w:bookmarkStart w:id="92" w:name="_Toc26164"/>
      <w:bookmarkStart w:id="93" w:name="_Toc1564"/>
      <w:bookmarkStart w:id="94" w:name="_Toc11058_WPSOffice_Level1"/>
      <w:bookmarkStart w:id="95" w:name="_Toc19189"/>
      <w:r>
        <w:rPr>
          <w:rFonts w:hint="eastAsia" w:ascii="黑体" w:hAnsi="黑体" w:eastAsia="黑体" w:cs="黑体"/>
          <w:color w:val="000000" w:themeColor="text1"/>
          <w:sz w:val="30"/>
          <w:szCs w:val="30"/>
          <w:highlight w:val="none"/>
          <w:lang w:val="en-US" w:eastAsia="zh-CN"/>
          <w14:textFill>
            <w14:solidFill>
              <w14:schemeClr w14:val="tx1"/>
            </w14:solidFill>
          </w14:textFill>
        </w:rPr>
        <w:t>第11章　其他</w:t>
      </w:r>
      <w:bookmarkEnd w:id="89"/>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双方不得以任何理由或目的将获悉的商业秘密和对方提供的资料文件（包括财务、技术、商业秘密、合同信息等内容）提供给任何第三方。因任一方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任何与本合同有关的通知、文件和合规的账单等均应按照约定的联络信息以书面方式发送给</w:t>
      </w:r>
      <w:r>
        <w:rPr>
          <w:rFonts w:hint="eastAsia" w:asciiTheme="minorEastAsia" w:hAnsiTheme="minorEastAsia"/>
          <w:color w:val="000000" w:themeColor="text1"/>
          <w:sz w:val="28"/>
          <w:szCs w:val="28"/>
          <w:highlight w:val="none"/>
          <w:lang w:val="en-US" w:eastAsia="zh-CN"/>
          <w14:textFill>
            <w14:solidFill>
              <w14:schemeClr w14:val="tx1"/>
            </w14:solidFill>
          </w14:textFill>
        </w:rPr>
        <w:t>对方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放弃权利应当以书面声明的方式通知对方。</w:t>
      </w: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.4本合同有关解除、诉求和保密的条款在本合同解除后仍然有效。本合同的订立、效力、解释、履行和争议的解决均适用中华人民共和国法律。</w:t>
      </w:r>
    </w:p>
    <w:p>
      <w:pPr>
        <w:ind w:firstLine="560" w:firstLineChars="200"/>
        <w:outlineLvl w:val="9"/>
        <w:rPr>
          <w:rFonts w:hint="eastAsia"/>
          <w:color w:val="000000" w:themeColor="text1"/>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5</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未尽事宜，由双方</w:t>
      </w:r>
      <w:r>
        <w:rPr>
          <w:rFonts w:hint="eastAsia" w:asciiTheme="minorEastAsia" w:hAnsiTheme="minorEastAsia"/>
          <w:color w:val="000000" w:themeColor="text1"/>
          <w:sz w:val="28"/>
          <w:szCs w:val="28"/>
          <w:highlight w:val="none"/>
          <w:lang w:val="en-US" w:eastAsia="zh-CN"/>
          <w14:textFill>
            <w14:solidFill>
              <w14:schemeClr w14:val="tx1"/>
            </w14:solidFill>
          </w14:textFill>
        </w:rPr>
        <w:t>按照交易规则另行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协商</w:t>
      </w:r>
      <w:r>
        <w:rPr>
          <w:rFonts w:hint="eastAsia" w:asciiTheme="minorEastAsia" w:hAnsiTheme="minorEastAsia"/>
          <w:color w:val="000000" w:themeColor="text1"/>
          <w:sz w:val="28"/>
          <w:szCs w:val="28"/>
          <w:highlight w:val="none"/>
          <w:lang w:val="en-US" w:eastAsia="zh-CN"/>
          <w14:textFill>
            <w14:solidFill>
              <w14:schemeClr w14:val="tx1"/>
            </w14:solidFill>
          </w14:textFill>
        </w:rPr>
        <w:t>并</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签订补充协议，补充协议与本合同具有同等法律效力。</w:t>
      </w:r>
    </w:p>
    <w:p>
      <w:pPr>
        <w:rPr>
          <w:rFonts w:hint="eastAsia"/>
          <w:lang w:val="en-US" w:eastAsia="zh-CN"/>
        </w:rPr>
      </w:pPr>
    </w:p>
    <w:p>
      <w:pPr>
        <w:pStyle w:val="2"/>
        <w:outlineLvl w:val="9"/>
        <w:rPr>
          <w:rFonts w:hint="eastAsia"/>
          <w:color w:val="000000" w:themeColor="text1"/>
          <w:lang w:val="en-US" w:eastAsia="zh-CN"/>
          <w14:textFill>
            <w14:solidFill>
              <w14:schemeClr w14:val="tx1"/>
            </w14:solidFill>
          </w14:textFill>
        </w:rPr>
      </w:pPr>
    </w:p>
    <w:p>
      <w:pPr>
        <w:pStyle w:val="3"/>
        <w:rPr>
          <w:rFonts w:hint="eastAsia"/>
          <w:color w:val="000000" w:themeColor="text1"/>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pPr>
    </w:p>
    <w:p>
      <w:pPr>
        <w:pStyle w:val="2"/>
        <w:rPr>
          <w:rFonts w:hint="eastAsia"/>
          <w:color w:val="000000" w:themeColor="text1"/>
          <w:lang w:val="en-US" w:eastAsia="zh-CN"/>
          <w14:textFill>
            <w14:solidFill>
              <w14:schemeClr w14:val="tx1"/>
            </w14:solidFill>
          </w14:textFill>
        </w:rPr>
      </w:pPr>
    </w:p>
    <w:p>
      <w:pPr>
        <w:pStyle w:val="3"/>
        <w:rPr>
          <w:rFonts w:hint="eastAsia"/>
          <w:color w:val="000000" w:themeColor="text1"/>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pPr>
    </w:p>
    <w:p>
      <w:pPr>
        <w:pStyle w:val="2"/>
        <w:rPr>
          <w:rFonts w:hint="eastAsia"/>
          <w:color w:val="000000" w:themeColor="text1"/>
          <w:lang w:val="en-US" w:eastAsia="zh-CN"/>
          <w14:textFill>
            <w14:solidFill>
              <w14:schemeClr w14:val="tx1"/>
            </w14:solidFill>
          </w14:textFill>
        </w:rPr>
      </w:pPr>
    </w:p>
    <w:p>
      <w:pPr>
        <w:pStyle w:val="3"/>
        <w:rPr>
          <w:rFonts w:hint="eastAsia"/>
          <w:color w:val="000000" w:themeColor="text1"/>
          <w:lang w:val="en-US" w:eastAsia="zh-CN"/>
          <w14:textFill>
            <w14:solidFill>
              <w14:schemeClr w14:val="tx1"/>
            </w14:solidFill>
          </w14:textFill>
        </w:rPr>
      </w:pPr>
    </w:p>
    <w:p>
      <w:pPr>
        <w:pStyle w:val="2"/>
        <w:ind w:left="0" w:leftChars="0" w:firstLine="0" w:firstLineChars="0"/>
        <w:jc w:val="both"/>
        <w:rPr>
          <w:rFonts w:hint="eastAsia"/>
          <w:color w:val="000000" w:themeColor="text1"/>
          <w:lang w:val="en-US" w:eastAsia="zh-CN"/>
          <w14:textFill>
            <w14:solidFill>
              <w14:schemeClr w14:val="tx1"/>
            </w14:solidFill>
          </w14:textFill>
        </w:rPr>
      </w:pPr>
    </w:p>
    <w:p>
      <w:pPr>
        <w:pStyle w:val="3"/>
        <w:rPr>
          <w:rFonts w:hint="eastAsia"/>
          <w:lang w:val="en-US" w:eastAsia="zh-CN"/>
        </w:rPr>
      </w:pPr>
    </w:p>
    <w:p>
      <w:pPr>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此页无正文</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rPr>
          <w:rFonts w:hint="eastAsia"/>
          <w:color w:val="000000" w:themeColor="text1"/>
          <w:lang w:val="en-US" w:eastAsia="zh-CN"/>
          <w14:textFill>
            <w14:solidFill>
              <w14:schemeClr w14:val="tx1"/>
            </w14:solidFill>
          </w14:textFill>
        </w:rPr>
      </w:pP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盖章日期：</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日</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p>
    <w:p>
      <w:pPr>
        <w:pStyle w:val="3"/>
        <w:outlineLvl w:val="9"/>
        <w:rPr>
          <w:rFonts w:hint="eastAsia"/>
          <w:color w:val="000000" w:themeColor="text1"/>
          <w14:textFill>
            <w14:solidFill>
              <w14:schemeClr w14:val="tx1"/>
            </w14:solidFill>
          </w14:textFill>
        </w:rPr>
      </w:pP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盖章日期：</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日</w:t>
      </w:r>
    </w:p>
    <w:p>
      <w:pPr>
        <w:rPr>
          <w:rFonts w:hint="eastAsia"/>
          <w:color w:val="000000" w:themeColor="text1"/>
          <w14:textFill>
            <w14:solidFill>
              <w14:schemeClr w14:val="tx1"/>
            </w14:solidFill>
          </w14:textFill>
        </w:rPr>
      </w:pPr>
    </w:p>
    <w:p>
      <w:pP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签订地点：</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南宁市民主路7号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6"/>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B700B"/>
    <w:rsid w:val="00170F47"/>
    <w:rsid w:val="001D25DF"/>
    <w:rsid w:val="00364DB4"/>
    <w:rsid w:val="006345C3"/>
    <w:rsid w:val="00656FD8"/>
    <w:rsid w:val="00952454"/>
    <w:rsid w:val="00A86253"/>
    <w:rsid w:val="00BB631F"/>
    <w:rsid w:val="00C06396"/>
    <w:rsid w:val="00C7086A"/>
    <w:rsid w:val="00CF4CF6"/>
    <w:rsid w:val="00DA7555"/>
    <w:rsid w:val="00E75DA8"/>
    <w:rsid w:val="00F531B5"/>
    <w:rsid w:val="00FA12E6"/>
    <w:rsid w:val="010B19F5"/>
    <w:rsid w:val="011B085E"/>
    <w:rsid w:val="01226DBA"/>
    <w:rsid w:val="01265818"/>
    <w:rsid w:val="013735EA"/>
    <w:rsid w:val="01491A8F"/>
    <w:rsid w:val="01554304"/>
    <w:rsid w:val="015815E5"/>
    <w:rsid w:val="015B457D"/>
    <w:rsid w:val="01666284"/>
    <w:rsid w:val="01834AB2"/>
    <w:rsid w:val="01881EAF"/>
    <w:rsid w:val="019C01AC"/>
    <w:rsid w:val="01AA4C03"/>
    <w:rsid w:val="01B122C8"/>
    <w:rsid w:val="01B36075"/>
    <w:rsid w:val="01B776E8"/>
    <w:rsid w:val="01D43E48"/>
    <w:rsid w:val="01EF7F52"/>
    <w:rsid w:val="02077EC2"/>
    <w:rsid w:val="02102660"/>
    <w:rsid w:val="023E7A87"/>
    <w:rsid w:val="02456C4E"/>
    <w:rsid w:val="02506CAB"/>
    <w:rsid w:val="025D0374"/>
    <w:rsid w:val="0263185B"/>
    <w:rsid w:val="02650CC1"/>
    <w:rsid w:val="0268127C"/>
    <w:rsid w:val="027A2269"/>
    <w:rsid w:val="027A4230"/>
    <w:rsid w:val="029B26ED"/>
    <w:rsid w:val="029C3A35"/>
    <w:rsid w:val="02A503B7"/>
    <w:rsid w:val="02A66B07"/>
    <w:rsid w:val="02A73C7F"/>
    <w:rsid w:val="02B717D1"/>
    <w:rsid w:val="02BE4AC0"/>
    <w:rsid w:val="02C03583"/>
    <w:rsid w:val="02C14834"/>
    <w:rsid w:val="02C3371F"/>
    <w:rsid w:val="02C408F2"/>
    <w:rsid w:val="02EB303C"/>
    <w:rsid w:val="02FA5FF4"/>
    <w:rsid w:val="03040F39"/>
    <w:rsid w:val="030F1431"/>
    <w:rsid w:val="033012E9"/>
    <w:rsid w:val="03333DF6"/>
    <w:rsid w:val="033929D0"/>
    <w:rsid w:val="033E7275"/>
    <w:rsid w:val="03467B47"/>
    <w:rsid w:val="035053C3"/>
    <w:rsid w:val="03565B4E"/>
    <w:rsid w:val="03655221"/>
    <w:rsid w:val="036C0F1D"/>
    <w:rsid w:val="03711E65"/>
    <w:rsid w:val="038369CF"/>
    <w:rsid w:val="03994F54"/>
    <w:rsid w:val="039B3399"/>
    <w:rsid w:val="03AB5F37"/>
    <w:rsid w:val="03AC252F"/>
    <w:rsid w:val="03B510C4"/>
    <w:rsid w:val="03C1444A"/>
    <w:rsid w:val="03C57932"/>
    <w:rsid w:val="03CE71A1"/>
    <w:rsid w:val="03E127B3"/>
    <w:rsid w:val="041228E2"/>
    <w:rsid w:val="044C4156"/>
    <w:rsid w:val="04621013"/>
    <w:rsid w:val="047D17F3"/>
    <w:rsid w:val="04A63C9C"/>
    <w:rsid w:val="04AA5D7E"/>
    <w:rsid w:val="04AA6B4F"/>
    <w:rsid w:val="04AD21C6"/>
    <w:rsid w:val="04BE7DFC"/>
    <w:rsid w:val="04C27F24"/>
    <w:rsid w:val="04D15DA0"/>
    <w:rsid w:val="04D30338"/>
    <w:rsid w:val="05005A73"/>
    <w:rsid w:val="051C52AC"/>
    <w:rsid w:val="053A0CF1"/>
    <w:rsid w:val="05493686"/>
    <w:rsid w:val="057C0436"/>
    <w:rsid w:val="05891179"/>
    <w:rsid w:val="059D255F"/>
    <w:rsid w:val="05AF111D"/>
    <w:rsid w:val="05AF206F"/>
    <w:rsid w:val="05C54B45"/>
    <w:rsid w:val="05E1314F"/>
    <w:rsid w:val="05E6204E"/>
    <w:rsid w:val="06021796"/>
    <w:rsid w:val="06133D91"/>
    <w:rsid w:val="062F10DE"/>
    <w:rsid w:val="06353DE4"/>
    <w:rsid w:val="065F4AE8"/>
    <w:rsid w:val="067A0E0D"/>
    <w:rsid w:val="067C6D2E"/>
    <w:rsid w:val="067F5B86"/>
    <w:rsid w:val="06846E9F"/>
    <w:rsid w:val="069B5D60"/>
    <w:rsid w:val="06BA0007"/>
    <w:rsid w:val="06C57131"/>
    <w:rsid w:val="06ED3ABB"/>
    <w:rsid w:val="06FA1DD9"/>
    <w:rsid w:val="07170981"/>
    <w:rsid w:val="07241EEA"/>
    <w:rsid w:val="074C3FF3"/>
    <w:rsid w:val="07535F42"/>
    <w:rsid w:val="075D37BA"/>
    <w:rsid w:val="07831DD9"/>
    <w:rsid w:val="078A3FC0"/>
    <w:rsid w:val="07AB0835"/>
    <w:rsid w:val="07C338DC"/>
    <w:rsid w:val="07C73D05"/>
    <w:rsid w:val="07CC54E8"/>
    <w:rsid w:val="081264B3"/>
    <w:rsid w:val="082C2EA3"/>
    <w:rsid w:val="082C47B7"/>
    <w:rsid w:val="08330D55"/>
    <w:rsid w:val="08336053"/>
    <w:rsid w:val="08366058"/>
    <w:rsid w:val="08444B72"/>
    <w:rsid w:val="084F6DA9"/>
    <w:rsid w:val="085E143B"/>
    <w:rsid w:val="08810CBD"/>
    <w:rsid w:val="088825C7"/>
    <w:rsid w:val="088E3104"/>
    <w:rsid w:val="089740EB"/>
    <w:rsid w:val="08AB6DC6"/>
    <w:rsid w:val="08C172A1"/>
    <w:rsid w:val="08D13A42"/>
    <w:rsid w:val="08D22C9F"/>
    <w:rsid w:val="08D614D3"/>
    <w:rsid w:val="08D878A8"/>
    <w:rsid w:val="08F118A1"/>
    <w:rsid w:val="08F2478E"/>
    <w:rsid w:val="08F80176"/>
    <w:rsid w:val="09070505"/>
    <w:rsid w:val="0910305F"/>
    <w:rsid w:val="09167249"/>
    <w:rsid w:val="091F19A7"/>
    <w:rsid w:val="092B426E"/>
    <w:rsid w:val="09383AF4"/>
    <w:rsid w:val="09AD2AEA"/>
    <w:rsid w:val="09C7739E"/>
    <w:rsid w:val="09CE2A0C"/>
    <w:rsid w:val="09E702CF"/>
    <w:rsid w:val="09F4715C"/>
    <w:rsid w:val="0A11503B"/>
    <w:rsid w:val="0A12519E"/>
    <w:rsid w:val="0A1667D6"/>
    <w:rsid w:val="0A221C1E"/>
    <w:rsid w:val="0A2A66F1"/>
    <w:rsid w:val="0A310171"/>
    <w:rsid w:val="0A555FA2"/>
    <w:rsid w:val="0A5938F5"/>
    <w:rsid w:val="0A6C4144"/>
    <w:rsid w:val="0A7B5229"/>
    <w:rsid w:val="0A8A5680"/>
    <w:rsid w:val="0ACD4076"/>
    <w:rsid w:val="0ADB61D1"/>
    <w:rsid w:val="0AE012DD"/>
    <w:rsid w:val="0AE128E6"/>
    <w:rsid w:val="0AFE3895"/>
    <w:rsid w:val="0B281EA9"/>
    <w:rsid w:val="0B4C389E"/>
    <w:rsid w:val="0B5B4924"/>
    <w:rsid w:val="0B63691A"/>
    <w:rsid w:val="0B733911"/>
    <w:rsid w:val="0B921F58"/>
    <w:rsid w:val="0B9422AF"/>
    <w:rsid w:val="0B9F4E01"/>
    <w:rsid w:val="0BA3367E"/>
    <w:rsid w:val="0BAF075A"/>
    <w:rsid w:val="0BD25976"/>
    <w:rsid w:val="0BD936A4"/>
    <w:rsid w:val="0BE77B35"/>
    <w:rsid w:val="0BF9435E"/>
    <w:rsid w:val="0C284D42"/>
    <w:rsid w:val="0C321AE4"/>
    <w:rsid w:val="0C3E60FD"/>
    <w:rsid w:val="0C4065A7"/>
    <w:rsid w:val="0C455032"/>
    <w:rsid w:val="0C524436"/>
    <w:rsid w:val="0C5A48F3"/>
    <w:rsid w:val="0C680EDB"/>
    <w:rsid w:val="0C96361E"/>
    <w:rsid w:val="0C9733F6"/>
    <w:rsid w:val="0CA3291B"/>
    <w:rsid w:val="0CA63F7A"/>
    <w:rsid w:val="0CAE00F3"/>
    <w:rsid w:val="0CB665A9"/>
    <w:rsid w:val="0CCE264B"/>
    <w:rsid w:val="0CE475F0"/>
    <w:rsid w:val="0CEC7356"/>
    <w:rsid w:val="0D046DE2"/>
    <w:rsid w:val="0D2C7959"/>
    <w:rsid w:val="0D32172A"/>
    <w:rsid w:val="0D4337A7"/>
    <w:rsid w:val="0D460EE5"/>
    <w:rsid w:val="0D4D02CD"/>
    <w:rsid w:val="0D54611F"/>
    <w:rsid w:val="0D696E5E"/>
    <w:rsid w:val="0D6A288E"/>
    <w:rsid w:val="0D863BD9"/>
    <w:rsid w:val="0D900A0D"/>
    <w:rsid w:val="0DB352DE"/>
    <w:rsid w:val="0DCD491E"/>
    <w:rsid w:val="0DD4615C"/>
    <w:rsid w:val="0DE240B5"/>
    <w:rsid w:val="0DEB5323"/>
    <w:rsid w:val="0DFA46E4"/>
    <w:rsid w:val="0E0B17C2"/>
    <w:rsid w:val="0E114995"/>
    <w:rsid w:val="0E1B5E25"/>
    <w:rsid w:val="0E23110B"/>
    <w:rsid w:val="0E242E3F"/>
    <w:rsid w:val="0E4E333C"/>
    <w:rsid w:val="0E5077AB"/>
    <w:rsid w:val="0E6255D4"/>
    <w:rsid w:val="0E6F53D4"/>
    <w:rsid w:val="0E911B05"/>
    <w:rsid w:val="0E934BAC"/>
    <w:rsid w:val="0F3A6D03"/>
    <w:rsid w:val="0F566EC7"/>
    <w:rsid w:val="0F5D0AE8"/>
    <w:rsid w:val="0F8009B1"/>
    <w:rsid w:val="0FA95AED"/>
    <w:rsid w:val="0FAE0E8F"/>
    <w:rsid w:val="0FC82CBD"/>
    <w:rsid w:val="0FCB69D6"/>
    <w:rsid w:val="0FFD3F09"/>
    <w:rsid w:val="10185649"/>
    <w:rsid w:val="10444D54"/>
    <w:rsid w:val="107567EC"/>
    <w:rsid w:val="107B5500"/>
    <w:rsid w:val="109C65C9"/>
    <w:rsid w:val="109F468C"/>
    <w:rsid w:val="10A249F0"/>
    <w:rsid w:val="10AE2826"/>
    <w:rsid w:val="11161B31"/>
    <w:rsid w:val="112E4CF4"/>
    <w:rsid w:val="115C536E"/>
    <w:rsid w:val="11662A26"/>
    <w:rsid w:val="11714E0B"/>
    <w:rsid w:val="1183274C"/>
    <w:rsid w:val="11BD63AA"/>
    <w:rsid w:val="11C11A17"/>
    <w:rsid w:val="11EB36CF"/>
    <w:rsid w:val="12134840"/>
    <w:rsid w:val="122925A2"/>
    <w:rsid w:val="123B721C"/>
    <w:rsid w:val="125053C2"/>
    <w:rsid w:val="126E7974"/>
    <w:rsid w:val="128B3360"/>
    <w:rsid w:val="12B2684F"/>
    <w:rsid w:val="12B80480"/>
    <w:rsid w:val="12FF6030"/>
    <w:rsid w:val="13061CB5"/>
    <w:rsid w:val="130D3F71"/>
    <w:rsid w:val="132872A5"/>
    <w:rsid w:val="134B5919"/>
    <w:rsid w:val="134E7E3D"/>
    <w:rsid w:val="136F6E2F"/>
    <w:rsid w:val="137345C8"/>
    <w:rsid w:val="137F267C"/>
    <w:rsid w:val="13993916"/>
    <w:rsid w:val="13A11449"/>
    <w:rsid w:val="13C45D79"/>
    <w:rsid w:val="13C66152"/>
    <w:rsid w:val="13EB46A1"/>
    <w:rsid w:val="142F5FED"/>
    <w:rsid w:val="143A1B13"/>
    <w:rsid w:val="14453E5A"/>
    <w:rsid w:val="144E14D2"/>
    <w:rsid w:val="1452462D"/>
    <w:rsid w:val="145266F2"/>
    <w:rsid w:val="145860D9"/>
    <w:rsid w:val="14640AF3"/>
    <w:rsid w:val="146E4844"/>
    <w:rsid w:val="14703881"/>
    <w:rsid w:val="1489120D"/>
    <w:rsid w:val="148B3A0D"/>
    <w:rsid w:val="148E2EEE"/>
    <w:rsid w:val="14A84098"/>
    <w:rsid w:val="14A939BE"/>
    <w:rsid w:val="14AB1454"/>
    <w:rsid w:val="14AB3475"/>
    <w:rsid w:val="14B6013A"/>
    <w:rsid w:val="14BF249B"/>
    <w:rsid w:val="14E37FD2"/>
    <w:rsid w:val="15050F71"/>
    <w:rsid w:val="152938CC"/>
    <w:rsid w:val="152D71B1"/>
    <w:rsid w:val="1535459E"/>
    <w:rsid w:val="15423390"/>
    <w:rsid w:val="154607AD"/>
    <w:rsid w:val="1556299D"/>
    <w:rsid w:val="15574E2D"/>
    <w:rsid w:val="1565768F"/>
    <w:rsid w:val="15680355"/>
    <w:rsid w:val="156A28AB"/>
    <w:rsid w:val="15831931"/>
    <w:rsid w:val="1587492B"/>
    <w:rsid w:val="158815AC"/>
    <w:rsid w:val="158D72BE"/>
    <w:rsid w:val="15AC12CB"/>
    <w:rsid w:val="15CC09FC"/>
    <w:rsid w:val="15D80095"/>
    <w:rsid w:val="15D87E62"/>
    <w:rsid w:val="15EE6D83"/>
    <w:rsid w:val="160C6E1F"/>
    <w:rsid w:val="160F149C"/>
    <w:rsid w:val="16210753"/>
    <w:rsid w:val="162418DF"/>
    <w:rsid w:val="16384A3D"/>
    <w:rsid w:val="16385274"/>
    <w:rsid w:val="163D674E"/>
    <w:rsid w:val="165A4C22"/>
    <w:rsid w:val="166C69F2"/>
    <w:rsid w:val="166E28C0"/>
    <w:rsid w:val="16756B5B"/>
    <w:rsid w:val="167D1563"/>
    <w:rsid w:val="168C2197"/>
    <w:rsid w:val="16A162B0"/>
    <w:rsid w:val="16B62569"/>
    <w:rsid w:val="16B93A1C"/>
    <w:rsid w:val="16D07D6F"/>
    <w:rsid w:val="16F5504E"/>
    <w:rsid w:val="16FA3AD9"/>
    <w:rsid w:val="170904B4"/>
    <w:rsid w:val="170E464F"/>
    <w:rsid w:val="171D2677"/>
    <w:rsid w:val="172C2E50"/>
    <w:rsid w:val="17432FF4"/>
    <w:rsid w:val="17460F7F"/>
    <w:rsid w:val="17610A97"/>
    <w:rsid w:val="179071CD"/>
    <w:rsid w:val="17A3522F"/>
    <w:rsid w:val="17A46C2E"/>
    <w:rsid w:val="17BC4936"/>
    <w:rsid w:val="17C90320"/>
    <w:rsid w:val="17DA066C"/>
    <w:rsid w:val="17F5640C"/>
    <w:rsid w:val="17FE74ED"/>
    <w:rsid w:val="18070853"/>
    <w:rsid w:val="1820772A"/>
    <w:rsid w:val="18511271"/>
    <w:rsid w:val="185219BD"/>
    <w:rsid w:val="185B634F"/>
    <w:rsid w:val="186C0AF2"/>
    <w:rsid w:val="18871179"/>
    <w:rsid w:val="18900EDF"/>
    <w:rsid w:val="1894329F"/>
    <w:rsid w:val="189E14AD"/>
    <w:rsid w:val="18AF550B"/>
    <w:rsid w:val="18C42368"/>
    <w:rsid w:val="18CB7F5E"/>
    <w:rsid w:val="18EA21F0"/>
    <w:rsid w:val="19052374"/>
    <w:rsid w:val="19265712"/>
    <w:rsid w:val="1947751E"/>
    <w:rsid w:val="196C3E11"/>
    <w:rsid w:val="196E30F3"/>
    <w:rsid w:val="197E2B20"/>
    <w:rsid w:val="19825F45"/>
    <w:rsid w:val="19893421"/>
    <w:rsid w:val="198D7650"/>
    <w:rsid w:val="199E0625"/>
    <w:rsid w:val="19A23880"/>
    <w:rsid w:val="19A45770"/>
    <w:rsid w:val="19A96B77"/>
    <w:rsid w:val="19CC3633"/>
    <w:rsid w:val="19F03651"/>
    <w:rsid w:val="19FC6AEF"/>
    <w:rsid w:val="19FC7157"/>
    <w:rsid w:val="1A446522"/>
    <w:rsid w:val="1A52292E"/>
    <w:rsid w:val="1A5D29B1"/>
    <w:rsid w:val="1A707779"/>
    <w:rsid w:val="1A9426AE"/>
    <w:rsid w:val="1AA06AC0"/>
    <w:rsid w:val="1AC505F2"/>
    <w:rsid w:val="1B1458E4"/>
    <w:rsid w:val="1B2800EA"/>
    <w:rsid w:val="1B340505"/>
    <w:rsid w:val="1B3743AA"/>
    <w:rsid w:val="1B4B7034"/>
    <w:rsid w:val="1B5E4733"/>
    <w:rsid w:val="1B751B43"/>
    <w:rsid w:val="1B8D62E9"/>
    <w:rsid w:val="1B93647B"/>
    <w:rsid w:val="1BAE0C5F"/>
    <w:rsid w:val="1BEA3897"/>
    <w:rsid w:val="1C021337"/>
    <w:rsid w:val="1C066FEB"/>
    <w:rsid w:val="1C423843"/>
    <w:rsid w:val="1C4A6155"/>
    <w:rsid w:val="1C4B271C"/>
    <w:rsid w:val="1C564612"/>
    <w:rsid w:val="1C581533"/>
    <w:rsid w:val="1C7118AA"/>
    <w:rsid w:val="1C7373C0"/>
    <w:rsid w:val="1C762991"/>
    <w:rsid w:val="1C8F08A8"/>
    <w:rsid w:val="1C8F31CC"/>
    <w:rsid w:val="1C9074DF"/>
    <w:rsid w:val="1C9F0172"/>
    <w:rsid w:val="1CA26216"/>
    <w:rsid w:val="1CDB3A7D"/>
    <w:rsid w:val="1CDE3806"/>
    <w:rsid w:val="1CF1420A"/>
    <w:rsid w:val="1D023B57"/>
    <w:rsid w:val="1D06622E"/>
    <w:rsid w:val="1D0F4741"/>
    <w:rsid w:val="1D2C35CA"/>
    <w:rsid w:val="1D2E666D"/>
    <w:rsid w:val="1D4015E1"/>
    <w:rsid w:val="1D535CF3"/>
    <w:rsid w:val="1D6D3BF5"/>
    <w:rsid w:val="1D754B42"/>
    <w:rsid w:val="1D791842"/>
    <w:rsid w:val="1DA33471"/>
    <w:rsid w:val="1DAD744B"/>
    <w:rsid w:val="1DBE4E54"/>
    <w:rsid w:val="1DC963C0"/>
    <w:rsid w:val="1DCC6312"/>
    <w:rsid w:val="1DD1110B"/>
    <w:rsid w:val="1DD75D3B"/>
    <w:rsid w:val="1DEB2EDD"/>
    <w:rsid w:val="1DF0393D"/>
    <w:rsid w:val="1DF324A2"/>
    <w:rsid w:val="1E111767"/>
    <w:rsid w:val="1E1B0BD4"/>
    <w:rsid w:val="1E3C4280"/>
    <w:rsid w:val="1E3F4157"/>
    <w:rsid w:val="1E5C25F4"/>
    <w:rsid w:val="1E5D4898"/>
    <w:rsid w:val="1E771048"/>
    <w:rsid w:val="1E7C7620"/>
    <w:rsid w:val="1E8D6CB3"/>
    <w:rsid w:val="1E92041B"/>
    <w:rsid w:val="1E9B12D5"/>
    <w:rsid w:val="1EAC2950"/>
    <w:rsid w:val="1EB91AD2"/>
    <w:rsid w:val="1EBD6F81"/>
    <w:rsid w:val="1EC626DF"/>
    <w:rsid w:val="1EF24CEF"/>
    <w:rsid w:val="1EF3568F"/>
    <w:rsid w:val="1F07507F"/>
    <w:rsid w:val="1F2F248E"/>
    <w:rsid w:val="1F310CC4"/>
    <w:rsid w:val="1F3F3AB9"/>
    <w:rsid w:val="1F6E2221"/>
    <w:rsid w:val="1F6E2E34"/>
    <w:rsid w:val="1FA449C9"/>
    <w:rsid w:val="1FBB526D"/>
    <w:rsid w:val="1FD10970"/>
    <w:rsid w:val="1FEC155B"/>
    <w:rsid w:val="1FF25904"/>
    <w:rsid w:val="200A0DCB"/>
    <w:rsid w:val="201E5874"/>
    <w:rsid w:val="204C7141"/>
    <w:rsid w:val="20534362"/>
    <w:rsid w:val="205F5AD4"/>
    <w:rsid w:val="2090481F"/>
    <w:rsid w:val="20A867FA"/>
    <w:rsid w:val="20AE43F3"/>
    <w:rsid w:val="20B05FE6"/>
    <w:rsid w:val="20C30A2F"/>
    <w:rsid w:val="20CF1ECB"/>
    <w:rsid w:val="20F444DE"/>
    <w:rsid w:val="21104B5B"/>
    <w:rsid w:val="21145B9F"/>
    <w:rsid w:val="212E63E9"/>
    <w:rsid w:val="212F3C14"/>
    <w:rsid w:val="212F6579"/>
    <w:rsid w:val="21326AE5"/>
    <w:rsid w:val="213C2CE0"/>
    <w:rsid w:val="216D4243"/>
    <w:rsid w:val="21793B7F"/>
    <w:rsid w:val="21AB6285"/>
    <w:rsid w:val="21B221D1"/>
    <w:rsid w:val="21E017E1"/>
    <w:rsid w:val="21E22BDB"/>
    <w:rsid w:val="22051B6E"/>
    <w:rsid w:val="22072042"/>
    <w:rsid w:val="22252001"/>
    <w:rsid w:val="222C5C8C"/>
    <w:rsid w:val="22423348"/>
    <w:rsid w:val="224A52BA"/>
    <w:rsid w:val="224F3DDC"/>
    <w:rsid w:val="225633EE"/>
    <w:rsid w:val="227426B7"/>
    <w:rsid w:val="22961223"/>
    <w:rsid w:val="229E3CD0"/>
    <w:rsid w:val="22A72E5B"/>
    <w:rsid w:val="22B90654"/>
    <w:rsid w:val="22C3753B"/>
    <w:rsid w:val="22E74F55"/>
    <w:rsid w:val="22FF6FCA"/>
    <w:rsid w:val="2308376E"/>
    <w:rsid w:val="231B7DA3"/>
    <w:rsid w:val="23326D30"/>
    <w:rsid w:val="23355E8C"/>
    <w:rsid w:val="234F67B4"/>
    <w:rsid w:val="23524F66"/>
    <w:rsid w:val="23B53056"/>
    <w:rsid w:val="23F02680"/>
    <w:rsid w:val="23F1083D"/>
    <w:rsid w:val="23F95B62"/>
    <w:rsid w:val="240B7994"/>
    <w:rsid w:val="240E0467"/>
    <w:rsid w:val="24195820"/>
    <w:rsid w:val="241B2C7C"/>
    <w:rsid w:val="24283BE1"/>
    <w:rsid w:val="243E5A26"/>
    <w:rsid w:val="2475567E"/>
    <w:rsid w:val="24840F1E"/>
    <w:rsid w:val="248C37ED"/>
    <w:rsid w:val="248E3023"/>
    <w:rsid w:val="249522C3"/>
    <w:rsid w:val="24BA50EE"/>
    <w:rsid w:val="24C45407"/>
    <w:rsid w:val="24E142F7"/>
    <w:rsid w:val="24F2121C"/>
    <w:rsid w:val="250D3619"/>
    <w:rsid w:val="25234F7C"/>
    <w:rsid w:val="25247BD0"/>
    <w:rsid w:val="25505AA0"/>
    <w:rsid w:val="25506DC7"/>
    <w:rsid w:val="25516076"/>
    <w:rsid w:val="25534182"/>
    <w:rsid w:val="256932A5"/>
    <w:rsid w:val="25936B52"/>
    <w:rsid w:val="25B22113"/>
    <w:rsid w:val="25EF4334"/>
    <w:rsid w:val="25EF6941"/>
    <w:rsid w:val="25F7483E"/>
    <w:rsid w:val="260D0807"/>
    <w:rsid w:val="26162E68"/>
    <w:rsid w:val="26207D05"/>
    <w:rsid w:val="263A10CC"/>
    <w:rsid w:val="26790375"/>
    <w:rsid w:val="269C1A84"/>
    <w:rsid w:val="26A379B4"/>
    <w:rsid w:val="26B1614E"/>
    <w:rsid w:val="26CE2F03"/>
    <w:rsid w:val="26D24AB1"/>
    <w:rsid w:val="26E329FF"/>
    <w:rsid w:val="270116B2"/>
    <w:rsid w:val="271120D1"/>
    <w:rsid w:val="27293D7E"/>
    <w:rsid w:val="272A04A6"/>
    <w:rsid w:val="2737185A"/>
    <w:rsid w:val="2764451F"/>
    <w:rsid w:val="279449AA"/>
    <w:rsid w:val="27957FC5"/>
    <w:rsid w:val="279E1C2B"/>
    <w:rsid w:val="27A31141"/>
    <w:rsid w:val="27B77F55"/>
    <w:rsid w:val="27BE0C16"/>
    <w:rsid w:val="27CA55CB"/>
    <w:rsid w:val="27E836A3"/>
    <w:rsid w:val="27FA0C6B"/>
    <w:rsid w:val="28066FED"/>
    <w:rsid w:val="281E6D92"/>
    <w:rsid w:val="28243D5E"/>
    <w:rsid w:val="285E2BEE"/>
    <w:rsid w:val="286670C3"/>
    <w:rsid w:val="286A5BC4"/>
    <w:rsid w:val="28706014"/>
    <w:rsid w:val="28772980"/>
    <w:rsid w:val="28922DA1"/>
    <w:rsid w:val="28CB7C95"/>
    <w:rsid w:val="28CC27DE"/>
    <w:rsid w:val="28D031E2"/>
    <w:rsid w:val="28FD55AA"/>
    <w:rsid w:val="291B0E38"/>
    <w:rsid w:val="291F7457"/>
    <w:rsid w:val="291F7842"/>
    <w:rsid w:val="292172C9"/>
    <w:rsid w:val="29330B71"/>
    <w:rsid w:val="29340AA2"/>
    <w:rsid w:val="295D5D22"/>
    <w:rsid w:val="29612051"/>
    <w:rsid w:val="296E324F"/>
    <w:rsid w:val="297368E4"/>
    <w:rsid w:val="29806651"/>
    <w:rsid w:val="29897E39"/>
    <w:rsid w:val="299871E6"/>
    <w:rsid w:val="29AB64DE"/>
    <w:rsid w:val="29BF27B2"/>
    <w:rsid w:val="29DC0506"/>
    <w:rsid w:val="29E36B27"/>
    <w:rsid w:val="2A1D0086"/>
    <w:rsid w:val="2A231F41"/>
    <w:rsid w:val="2A44347F"/>
    <w:rsid w:val="2A515F60"/>
    <w:rsid w:val="2A684B74"/>
    <w:rsid w:val="2A6E1C39"/>
    <w:rsid w:val="2A721245"/>
    <w:rsid w:val="2AAF2FFD"/>
    <w:rsid w:val="2ABD4953"/>
    <w:rsid w:val="2AD25BD0"/>
    <w:rsid w:val="2B09470B"/>
    <w:rsid w:val="2B0B1ECB"/>
    <w:rsid w:val="2B180487"/>
    <w:rsid w:val="2B210378"/>
    <w:rsid w:val="2B2A5E7D"/>
    <w:rsid w:val="2B2B683F"/>
    <w:rsid w:val="2B342464"/>
    <w:rsid w:val="2B400CE9"/>
    <w:rsid w:val="2B566A3D"/>
    <w:rsid w:val="2B7811AD"/>
    <w:rsid w:val="2B785A42"/>
    <w:rsid w:val="2B856ED2"/>
    <w:rsid w:val="2B932598"/>
    <w:rsid w:val="2BA57069"/>
    <w:rsid w:val="2BB81792"/>
    <w:rsid w:val="2BC90B3A"/>
    <w:rsid w:val="2BEC051F"/>
    <w:rsid w:val="2C1539B1"/>
    <w:rsid w:val="2C427A39"/>
    <w:rsid w:val="2C442D11"/>
    <w:rsid w:val="2C4D59B5"/>
    <w:rsid w:val="2C5E01DF"/>
    <w:rsid w:val="2C6C010D"/>
    <w:rsid w:val="2C915B51"/>
    <w:rsid w:val="2C9251C9"/>
    <w:rsid w:val="2C97307C"/>
    <w:rsid w:val="2C985A22"/>
    <w:rsid w:val="2CA25738"/>
    <w:rsid w:val="2CB67ECA"/>
    <w:rsid w:val="2CE83308"/>
    <w:rsid w:val="2D0C75AB"/>
    <w:rsid w:val="2D1F263E"/>
    <w:rsid w:val="2D3A6052"/>
    <w:rsid w:val="2D4E3A52"/>
    <w:rsid w:val="2D634C12"/>
    <w:rsid w:val="2D774E37"/>
    <w:rsid w:val="2DB16868"/>
    <w:rsid w:val="2DCF021D"/>
    <w:rsid w:val="2DE92B39"/>
    <w:rsid w:val="2E09680D"/>
    <w:rsid w:val="2E0C6932"/>
    <w:rsid w:val="2E113F32"/>
    <w:rsid w:val="2E342EEE"/>
    <w:rsid w:val="2E4F77EC"/>
    <w:rsid w:val="2E5B23CF"/>
    <w:rsid w:val="2E681D83"/>
    <w:rsid w:val="2E69055E"/>
    <w:rsid w:val="2E842F1A"/>
    <w:rsid w:val="2EA57D77"/>
    <w:rsid w:val="2EC901A5"/>
    <w:rsid w:val="2ED56D9E"/>
    <w:rsid w:val="2EE42771"/>
    <w:rsid w:val="2EEA418A"/>
    <w:rsid w:val="2EFC77BE"/>
    <w:rsid w:val="2F057702"/>
    <w:rsid w:val="2F0D1508"/>
    <w:rsid w:val="2F1A25DA"/>
    <w:rsid w:val="2F2E669E"/>
    <w:rsid w:val="2F3271BC"/>
    <w:rsid w:val="2F681E02"/>
    <w:rsid w:val="2F91202E"/>
    <w:rsid w:val="2F980CFF"/>
    <w:rsid w:val="2FC631AB"/>
    <w:rsid w:val="2FDC19FE"/>
    <w:rsid w:val="2FE35273"/>
    <w:rsid w:val="302F3675"/>
    <w:rsid w:val="30632F3C"/>
    <w:rsid w:val="30653682"/>
    <w:rsid w:val="307E33AB"/>
    <w:rsid w:val="308C48B8"/>
    <w:rsid w:val="308F1F24"/>
    <w:rsid w:val="30932B0A"/>
    <w:rsid w:val="30963801"/>
    <w:rsid w:val="30975D28"/>
    <w:rsid w:val="30BD37F9"/>
    <w:rsid w:val="30BE2931"/>
    <w:rsid w:val="30BF2661"/>
    <w:rsid w:val="30C12CD9"/>
    <w:rsid w:val="30ED1751"/>
    <w:rsid w:val="30FC2DCE"/>
    <w:rsid w:val="31621FA8"/>
    <w:rsid w:val="31686916"/>
    <w:rsid w:val="318111E1"/>
    <w:rsid w:val="319C6441"/>
    <w:rsid w:val="31A14276"/>
    <w:rsid w:val="31DE166D"/>
    <w:rsid w:val="31DF689B"/>
    <w:rsid w:val="32197924"/>
    <w:rsid w:val="324467D9"/>
    <w:rsid w:val="324F13E4"/>
    <w:rsid w:val="32680BF4"/>
    <w:rsid w:val="3278626B"/>
    <w:rsid w:val="327C40AE"/>
    <w:rsid w:val="32AF32D9"/>
    <w:rsid w:val="32B277AE"/>
    <w:rsid w:val="32BE0068"/>
    <w:rsid w:val="32D30133"/>
    <w:rsid w:val="32E64F3B"/>
    <w:rsid w:val="33054A59"/>
    <w:rsid w:val="332C091C"/>
    <w:rsid w:val="33641684"/>
    <w:rsid w:val="337F24D7"/>
    <w:rsid w:val="33801729"/>
    <w:rsid w:val="33881A10"/>
    <w:rsid w:val="33A42F41"/>
    <w:rsid w:val="33A84EC5"/>
    <w:rsid w:val="33B16B78"/>
    <w:rsid w:val="33CD006F"/>
    <w:rsid w:val="33D522B2"/>
    <w:rsid w:val="33D84BE6"/>
    <w:rsid w:val="33F26EF3"/>
    <w:rsid w:val="33F50068"/>
    <w:rsid w:val="34044E56"/>
    <w:rsid w:val="340A4036"/>
    <w:rsid w:val="343B33D7"/>
    <w:rsid w:val="34435BC2"/>
    <w:rsid w:val="345B4342"/>
    <w:rsid w:val="34716D10"/>
    <w:rsid w:val="347F6A9B"/>
    <w:rsid w:val="34817FC5"/>
    <w:rsid w:val="348F7828"/>
    <w:rsid w:val="34BB086D"/>
    <w:rsid w:val="34CB6321"/>
    <w:rsid w:val="34CF1F79"/>
    <w:rsid w:val="34D24680"/>
    <w:rsid w:val="34EF6C5E"/>
    <w:rsid w:val="34F514BE"/>
    <w:rsid w:val="3510435E"/>
    <w:rsid w:val="351E3857"/>
    <w:rsid w:val="352268F7"/>
    <w:rsid w:val="35371E6B"/>
    <w:rsid w:val="354C491A"/>
    <w:rsid w:val="354E473A"/>
    <w:rsid w:val="35645482"/>
    <w:rsid w:val="35652E3B"/>
    <w:rsid w:val="358565B5"/>
    <w:rsid w:val="35982FEB"/>
    <w:rsid w:val="35B51FD4"/>
    <w:rsid w:val="35B8517C"/>
    <w:rsid w:val="35BD25DC"/>
    <w:rsid w:val="35FD679D"/>
    <w:rsid w:val="365A0BD9"/>
    <w:rsid w:val="367A2F75"/>
    <w:rsid w:val="36BF32BE"/>
    <w:rsid w:val="36C13181"/>
    <w:rsid w:val="36C30E79"/>
    <w:rsid w:val="36CF5542"/>
    <w:rsid w:val="36DE3BA8"/>
    <w:rsid w:val="36F00848"/>
    <w:rsid w:val="36FB05EB"/>
    <w:rsid w:val="36FB4456"/>
    <w:rsid w:val="3708011A"/>
    <w:rsid w:val="370A505E"/>
    <w:rsid w:val="370F0A43"/>
    <w:rsid w:val="37165AE0"/>
    <w:rsid w:val="37165EAA"/>
    <w:rsid w:val="37593596"/>
    <w:rsid w:val="37651943"/>
    <w:rsid w:val="377473D8"/>
    <w:rsid w:val="37AB0A1C"/>
    <w:rsid w:val="37B038A7"/>
    <w:rsid w:val="37CA22DD"/>
    <w:rsid w:val="37E64713"/>
    <w:rsid w:val="37F92A09"/>
    <w:rsid w:val="37FA33A4"/>
    <w:rsid w:val="38031C40"/>
    <w:rsid w:val="38102A67"/>
    <w:rsid w:val="384605F0"/>
    <w:rsid w:val="38653D34"/>
    <w:rsid w:val="38707A9C"/>
    <w:rsid w:val="38AE292D"/>
    <w:rsid w:val="38B1479A"/>
    <w:rsid w:val="38C84C79"/>
    <w:rsid w:val="38DD2DD0"/>
    <w:rsid w:val="38DD69E9"/>
    <w:rsid w:val="38FC2CC4"/>
    <w:rsid w:val="39000072"/>
    <w:rsid w:val="390D3B1C"/>
    <w:rsid w:val="39103271"/>
    <w:rsid w:val="39324E52"/>
    <w:rsid w:val="394004B6"/>
    <w:rsid w:val="39610935"/>
    <w:rsid w:val="396D17E3"/>
    <w:rsid w:val="39861724"/>
    <w:rsid w:val="398A54FA"/>
    <w:rsid w:val="398B158E"/>
    <w:rsid w:val="39962543"/>
    <w:rsid w:val="39A0584A"/>
    <w:rsid w:val="39AA0C4A"/>
    <w:rsid w:val="39BF0CD5"/>
    <w:rsid w:val="39C56FD0"/>
    <w:rsid w:val="39C70F27"/>
    <w:rsid w:val="39CB5D44"/>
    <w:rsid w:val="39D2390C"/>
    <w:rsid w:val="39DE67A3"/>
    <w:rsid w:val="39E81017"/>
    <w:rsid w:val="39FF358C"/>
    <w:rsid w:val="3A050DEB"/>
    <w:rsid w:val="3A093D36"/>
    <w:rsid w:val="3A0B020E"/>
    <w:rsid w:val="3A0F26D2"/>
    <w:rsid w:val="3A115088"/>
    <w:rsid w:val="3A1C3F30"/>
    <w:rsid w:val="3A470AA5"/>
    <w:rsid w:val="3A54032D"/>
    <w:rsid w:val="3A7944B6"/>
    <w:rsid w:val="3A7D66CE"/>
    <w:rsid w:val="3A8337F7"/>
    <w:rsid w:val="3A87390D"/>
    <w:rsid w:val="3AD464AB"/>
    <w:rsid w:val="3AF03959"/>
    <w:rsid w:val="3AF57D57"/>
    <w:rsid w:val="3AF628B1"/>
    <w:rsid w:val="3B2A62B8"/>
    <w:rsid w:val="3B39116E"/>
    <w:rsid w:val="3B463A3B"/>
    <w:rsid w:val="3B4A33FA"/>
    <w:rsid w:val="3B4D7089"/>
    <w:rsid w:val="3B5604D5"/>
    <w:rsid w:val="3B6A1A6B"/>
    <w:rsid w:val="3B6D7FE4"/>
    <w:rsid w:val="3B720631"/>
    <w:rsid w:val="3B76524A"/>
    <w:rsid w:val="3B805961"/>
    <w:rsid w:val="3B914A09"/>
    <w:rsid w:val="3B9C702A"/>
    <w:rsid w:val="3B9E687D"/>
    <w:rsid w:val="3BA25713"/>
    <w:rsid w:val="3BBE5EAE"/>
    <w:rsid w:val="3BC91625"/>
    <w:rsid w:val="3BD65F3F"/>
    <w:rsid w:val="3BD918BF"/>
    <w:rsid w:val="3BF10B3D"/>
    <w:rsid w:val="3BF135C0"/>
    <w:rsid w:val="3C053571"/>
    <w:rsid w:val="3C1E5A73"/>
    <w:rsid w:val="3C33136B"/>
    <w:rsid w:val="3C3F4DE6"/>
    <w:rsid w:val="3C4817CF"/>
    <w:rsid w:val="3C5E5BCA"/>
    <w:rsid w:val="3C650257"/>
    <w:rsid w:val="3C706035"/>
    <w:rsid w:val="3C756CCE"/>
    <w:rsid w:val="3C777AB5"/>
    <w:rsid w:val="3C7D06EC"/>
    <w:rsid w:val="3CA2636A"/>
    <w:rsid w:val="3CB2531F"/>
    <w:rsid w:val="3CB30BF0"/>
    <w:rsid w:val="3CBD2BB9"/>
    <w:rsid w:val="3CC064BF"/>
    <w:rsid w:val="3CC6554C"/>
    <w:rsid w:val="3CC82E58"/>
    <w:rsid w:val="3CF9295F"/>
    <w:rsid w:val="3D086B3F"/>
    <w:rsid w:val="3D0E6729"/>
    <w:rsid w:val="3D175288"/>
    <w:rsid w:val="3D1B2046"/>
    <w:rsid w:val="3D2079E3"/>
    <w:rsid w:val="3D2844C1"/>
    <w:rsid w:val="3D2B057B"/>
    <w:rsid w:val="3D3D411E"/>
    <w:rsid w:val="3D695597"/>
    <w:rsid w:val="3D726022"/>
    <w:rsid w:val="3D7B06EF"/>
    <w:rsid w:val="3D7B0CBB"/>
    <w:rsid w:val="3D832593"/>
    <w:rsid w:val="3D933614"/>
    <w:rsid w:val="3DAD404E"/>
    <w:rsid w:val="3DF31CFE"/>
    <w:rsid w:val="3DF65002"/>
    <w:rsid w:val="3E0003B9"/>
    <w:rsid w:val="3E1755D4"/>
    <w:rsid w:val="3E20561E"/>
    <w:rsid w:val="3E2A7D9F"/>
    <w:rsid w:val="3E383973"/>
    <w:rsid w:val="3E425174"/>
    <w:rsid w:val="3E514ABC"/>
    <w:rsid w:val="3EAE5953"/>
    <w:rsid w:val="3EAE708C"/>
    <w:rsid w:val="3ECC1CC2"/>
    <w:rsid w:val="3ECC501F"/>
    <w:rsid w:val="3EE36B45"/>
    <w:rsid w:val="3EEF5897"/>
    <w:rsid w:val="3EFD6125"/>
    <w:rsid w:val="3F0742DF"/>
    <w:rsid w:val="3F0B677C"/>
    <w:rsid w:val="3F153BA9"/>
    <w:rsid w:val="3F514678"/>
    <w:rsid w:val="3F5A2777"/>
    <w:rsid w:val="3F70527C"/>
    <w:rsid w:val="3F730945"/>
    <w:rsid w:val="3F732569"/>
    <w:rsid w:val="3F7C79F8"/>
    <w:rsid w:val="3F8D11BF"/>
    <w:rsid w:val="3F8E596E"/>
    <w:rsid w:val="3FB75545"/>
    <w:rsid w:val="3FBC527D"/>
    <w:rsid w:val="3FCF2978"/>
    <w:rsid w:val="3FD81228"/>
    <w:rsid w:val="3FDF77B3"/>
    <w:rsid w:val="3FE102A8"/>
    <w:rsid w:val="40005A64"/>
    <w:rsid w:val="400329F9"/>
    <w:rsid w:val="40116211"/>
    <w:rsid w:val="401410DE"/>
    <w:rsid w:val="40366233"/>
    <w:rsid w:val="404D72D1"/>
    <w:rsid w:val="405F2FA9"/>
    <w:rsid w:val="40840386"/>
    <w:rsid w:val="408606E5"/>
    <w:rsid w:val="409050E6"/>
    <w:rsid w:val="40960104"/>
    <w:rsid w:val="409A07EC"/>
    <w:rsid w:val="40AA6EBA"/>
    <w:rsid w:val="40AE5B0D"/>
    <w:rsid w:val="40CE22B6"/>
    <w:rsid w:val="40DD322D"/>
    <w:rsid w:val="40F72B0C"/>
    <w:rsid w:val="413332AB"/>
    <w:rsid w:val="4148659F"/>
    <w:rsid w:val="414B5147"/>
    <w:rsid w:val="41633DC4"/>
    <w:rsid w:val="416C6A2E"/>
    <w:rsid w:val="416D297C"/>
    <w:rsid w:val="41880B70"/>
    <w:rsid w:val="41A87F31"/>
    <w:rsid w:val="41AA5BF3"/>
    <w:rsid w:val="41AF0D4C"/>
    <w:rsid w:val="41BC7ECB"/>
    <w:rsid w:val="4233678E"/>
    <w:rsid w:val="42370C5F"/>
    <w:rsid w:val="42481879"/>
    <w:rsid w:val="42551F55"/>
    <w:rsid w:val="428A008A"/>
    <w:rsid w:val="429468A4"/>
    <w:rsid w:val="4295610A"/>
    <w:rsid w:val="42CC3F65"/>
    <w:rsid w:val="42D65310"/>
    <w:rsid w:val="42DC752B"/>
    <w:rsid w:val="42DD499A"/>
    <w:rsid w:val="42EB7094"/>
    <w:rsid w:val="42EE47DF"/>
    <w:rsid w:val="42F506F0"/>
    <w:rsid w:val="43233B7D"/>
    <w:rsid w:val="435744E6"/>
    <w:rsid w:val="43584D33"/>
    <w:rsid w:val="43593AA8"/>
    <w:rsid w:val="436173A6"/>
    <w:rsid w:val="436735E3"/>
    <w:rsid w:val="43694029"/>
    <w:rsid w:val="43702294"/>
    <w:rsid w:val="43827E68"/>
    <w:rsid w:val="4388759C"/>
    <w:rsid w:val="43991ACB"/>
    <w:rsid w:val="43A1341E"/>
    <w:rsid w:val="43BE1E05"/>
    <w:rsid w:val="43D17438"/>
    <w:rsid w:val="43DA144D"/>
    <w:rsid w:val="43EA4D2F"/>
    <w:rsid w:val="43F95F16"/>
    <w:rsid w:val="43FD39FD"/>
    <w:rsid w:val="44183F38"/>
    <w:rsid w:val="4422762E"/>
    <w:rsid w:val="44361BF4"/>
    <w:rsid w:val="443C7AB9"/>
    <w:rsid w:val="443F2B5C"/>
    <w:rsid w:val="44460BF5"/>
    <w:rsid w:val="44682470"/>
    <w:rsid w:val="446915AF"/>
    <w:rsid w:val="446F7CD3"/>
    <w:rsid w:val="447B32C9"/>
    <w:rsid w:val="44854157"/>
    <w:rsid w:val="44B47655"/>
    <w:rsid w:val="44D55E1D"/>
    <w:rsid w:val="44EA4FB7"/>
    <w:rsid w:val="4509639D"/>
    <w:rsid w:val="45111EC7"/>
    <w:rsid w:val="45157E3E"/>
    <w:rsid w:val="45195760"/>
    <w:rsid w:val="452269EC"/>
    <w:rsid w:val="454A517B"/>
    <w:rsid w:val="4551149B"/>
    <w:rsid w:val="456147D2"/>
    <w:rsid w:val="45690CE4"/>
    <w:rsid w:val="45825A90"/>
    <w:rsid w:val="458659B5"/>
    <w:rsid w:val="45937E02"/>
    <w:rsid w:val="45945AEB"/>
    <w:rsid w:val="45946B50"/>
    <w:rsid w:val="45A44CB0"/>
    <w:rsid w:val="45AC3805"/>
    <w:rsid w:val="45AD70DD"/>
    <w:rsid w:val="45B361BF"/>
    <w:rsid w:val="45CD6DFC"/>
    <w:rsid w:val="45CE71A2"/>
    <w:rsid w:val="45D04AEF"/>
    <w:rsid w:val="45F5106D"/>
    <w:rsid w:val="460F6EAC"/>
    <w:rsid w:val="466A5865"/>
    <w:rsid w:val="467F362C"/>
    <w:rsid w:val="46860928"/>
    <w:rsid w:val="46B134B2"/>
    <w:rsid w:val="46B92F80"/>
    <w:rsid w:val="46C0497F"/>
    <w:rsid w:val="46D364B0"/>
    <w:rsid w:val="46D9452B"/>
    <w:rsid w:val="46DD6D1B"/>
    <w:rsid w:val="46E13B1B"/>
    <w:rsid w:val="47082131"/>
    <w:rsid w:val="470A71EA"/>
    <w:rsid w:val="47221951"/>
    <w:rsid w:val="472821EA"/>
    <w:rsid w:val="472B5239"/>
    <w:rsid w:val="47313511"/>
    <w:rsid w:val="47326F41"/>
    <w:rsid w:val="474743CD"/>
    <w:rsid w:val="47515CD4"/>
    <w:rsid w:val="475939F0"/>
    <w:rsid w:val="476D35EA"/>
    <w:rsid w:val="4776365A"/>
    <w:rsid w:val="477913CC"/>
    <w:rsid w:val="47795006"/>
    <w:rsid w:val="477A7A11"/>
    <w:rsid w:val="477B5CE6"/>
    <w:rsid w:val="477E1EED"/>
    <w:rsid w:val="47870543"/>
    <w:rsid w:val="47A62870"/>
    <w:rsid w:val="47B2061B"/>
    <w:rsid w:val="47BE4C39"/>
    <w:rsid w:val="47DF5304"/>
    <w:rsid w:val="47E332C2"/>
    <w:rsid w:val="47F84C04"/>
    <w:rsid w:val="48293DBD"/>
    <w:rsid w:val="4832396B"/>
    <w:rsid w:val="485061EC"/>
    <w:rsid w:val="4856375E"/>
    <w:rsid w:val="48774DE9"/>
    <w:rsid w:val="487F57B0"/>
    <w:rsid w:val="487F762B"/>
    <w:rsid w:val="488A6227"/>
    <w:rsid w:val="48946DE8"/>
    <w:rsid w:val="48C74E77"/>
    <w:rsid w:val="48C769CB"/>
    <w:rsid w:val="48CA35E1"/>
    <w:rsid w:val="48CE369A"/>
    <w:rsid w:val="48D30220"/>
    <w:rsid w:val="48D4048A"/>
    <w:rsid w:val="48E84B39"/>
    <w:rsid w:val="490620B6"/>
    <w:rsid w:val="493A044B"/>
    <w:rsid w:val="494F5CB1"/>
    <w:rsid w:val="49624FE8"/>
    <w:rsid w:val="49696BA7"/>
    <w:rsid w:val="49883A40"/>
    <w:rsid w:val="49AF38DC"/>
    <w:rsid w:val="49B063F3"/>
    <w:rsid w:val="49C10457"/>
    <w:rsid w:val="49DE0A77"/>
    <w:rsid w:val="49E551D5"/>
    <w:rsid w:val="49F16A0E"/>
    <w:rsid w:val="4A041F1D"/>
    <w:rsid w:val="4A0756A0"/>
    <w:rsid w:val="4A0D71FF"/>
    <w:rsid w:val="4A37027D"/>
    <w:rsid w:val="4A373371"/>
    <w:rsid w:val="4A497190"/>
    <w:rsid w:val="4A6336E2"/>
    <w:rsid w:val="4A6B7B78"/>
    <w:rsid w:val="4A851FA4"/>
    <w:rsid w:val="4A94131B"/>
    <w:rsid w:val="4A98658F"/>
    <w:rsid w:val="4AB02A96"/>
    <w:rsid w:val="4AC920E5"/>
    <w:rsid w:val="4ACD04DB"/>
    <w:rsid w:val="4AD160A9"/>
    <w:rsid w:val="4AE92A53"/>
    <w:rsid w:val="4B0A3533"/>
    <w:rsid w:val="4B1B3847"/>
    <w:rsid w:val="4B2358E3"/>
    <w:rsid w:val="4B2B593D"/>
    <w:rsid w:val="4B2C4703"/>
    <w:rsid w:val="4B310E0B"/>
    <w:rsid w:val="4B3B5752"/>
    <w:rsid w:val="4B41240D"/>
    <w:rsid w:val="4B4B2B8E"/>
    <w:rsid w:val="4B6B77BB"/>
    <w:rsid w:val="4B6C26CB"/>
    <w:rsid w:val="4B731510"/>
    <w:rsid w:val="4BB04D04"/>
    <w:rsid w:val="4BB3083E"/>
    <w:rsid w:val="4BC2504C"/>
    <w:rsid w:val="4BCB17D3"/>
    <w:rsid w:val="4BCB30CE"/>
    <w:rsid w:val="4C1A60BD"/>
    <w:rsid w:val="4C436FF7"/>
    <w:rsid w:val="4C4452CA"/>
    <w:rsid w:val="4C5A13BB"/>
    <w:rsid w:val="4C5A203C"/>
    <w:rsid w:val="4C6F6895"/>
    <w:rsid w:val="4C717681"/>
    <w:rsid w:val="4C8A5DED"/>
    <w:rsid w:val="4C971E00"/>
    <w:rsid w:val="4CAB5883"/>
    <w:rsid w:val="4CBD4F86"/>
    <w:rsid w:val="4CC64189"/>
    <w:rsid w:val="4CDD5268"/>
    <w:rsid w:val="4CEC595B"/>
    <w:rsid w:val="4CFF6E03"/>
    <w:rsid w:val="4D0A508A"/>
    <w:rsid w:val="4D1D042F"/>
    <w:rsid w:val="4D2759EA"/>
    <w:rsid w:val="4D3633A6"/>
    <w:rsid w:val="4D453539"/>
    <w:rsid w:val="4D541C97"/>
    <w:rsid w:val="4D58477C"/>
    <w:rsid w:val="4D645435"/>
    <w:rsid w:val="4DC0343B"/>
    <w:rsid w:val="4DC4494F"/>
    <w:rsid w:val="4DC603C1"/>
    <w:rsid w:val="4DCB4840"/>
    <w:rsid w:val="4DE36A67"/>
    <w:rsid w:val="4DEF0544"/>
    <w:rsid w:val="4DF83E09"/>
    <w:rsid w:val="4E163C31"/>
    <w:rsid w:val="4E5019A6"/>
    <w:rsid w:val="4E63012D"/>
    <w:rsid w:val="4E68635D"/>
    <w:rsid w:val="4E711598"/>
    <w:rsid w:val="4E744401"/>
    <w:rsid w:val="4E752C2F"/>
    <w:rsid w:val="4E773FD8"/>
    <w:rsid w:val="4E93473D"/>
    <w:rsid w:val="4E937D44"/>
    <w:rsid w:val="4E943B31"/>
    <w:rsid w:val="4E96392F"/>
    <w:rsid w:val="4E980AEB"/>
    <w:rsid w:val="4E9B3283"/>
    <w:rsid w:val="4EA93A38"/>
    <w:rsid w:val="4EC213C5"/>
    <w:rsid w:val="4EC525D7"/>
    <w:rsid w:val="4EC63EA2"/>
    <w:rsid w:val="4ED66C6B"/>
    <w:rsid w:val="4EDD08D0"/>
    <w:rsid w:val="4EE6597D"/>
    <w:rsid w:val="4EE7054E"/>
    <w:rsid w:val="4EEE2484"/>
    <w:rsid w:val="4F2873B6"/>
    <w:rsid w:val="4F2D5C87"/>
    <w:rsid w:val="4F434D4C"/>
    <w:rsid w:val="4F4E3E25"/>
    <w:rsid w:val="4F4F3EB9"/>
    <w:rsid w:val="4F633A28"/>
    <w:rsid w:val="4F6613C8"/>
    <w:rsid w:val="4F6A4E44"/>
    <w:rsid w:val="4F7E30A8"/>
    <w:rsid w:val="4F9C22B9"/>
    <w:rsid w:val="4FA831EA"/>
    <w:rsid w:val="4FA86C8B"/>
    <w:rsid w:val="4FAB4A47"/>
    <w:rsid w:val="4FC87C24"/>
    <w:rsid w:val="50012402"/>
    <w:rsid w:val="500B4EC0"/>
    <w:rsid w:val="50264664"/>
    <w:rsid w:val="50375A1D"/>
    <w:rsid w:val="50474BE6"/>
    <w:rsid w:val="505B1411"/>
    <w:rsid w:val="50664C99"/>
    <w:rsid w:val="50700992"/>
    <w:rsid w:val="50891E05"/>
    <w:rsid w:val="50907D07"/>
    <w:rsid w:val="50C15717"/>
    <w:rsid w:val="50D31DDA"/>
    <w:rsid w:val="50E6193E"/>
    <w:rsid w:val="513B0B5F"/>
    <w:rsid w:val="514A00AF"/>
    <w:rsid w:val="516B64AC"/>
    <w:rsid w:val="51A373E7"/>
    <w:rsid w:val="51A74D71"/>
    <w:rsid w:val="51BE30DC"/>
    <w:rsid w:val="51DF69C6"/>
    <w:rsid w:val="51E03E15"/>
    <w:rsid w:val="51E14C8F"/>
    <w:rsid w:val="51EF5792"/>
    <w:rsid w:val="520457E3"/>
    <w:rsid w:val="52193591"/>
    <w:rsid w:val="52194385"/>
    <w:rsid w:val="52237949"/>
    <w:rsid w:val="52337A4D"/>
    <w:rsid w:val="52387DE8"/>
    <w:rsid w:val="523A362C"/>
    <w:rsid w:val="523C628C"/>
    <w:rsid w:val="52495BB9"/>
    <w:rsid w:val="524D1BEF"/>
    <w:rsid w:val="52604311"/>
    <w:rsid w:val="52805406"/>
    <w:rsid w:val="528D79EF"/>
    <w:rsid w:val="529974DC"/>
    <w:rsid w:val="529F7815"/>
    <w:rsid w:val="52C23214"/>
    <w:rsid w:val="52CE7992"/>
    <w:rsid w:val="52FF73C2"/>
    <w:rsid w:val="530A5D48"/>
    <w:rsid w:val="532B3E83"/>
    <w:rsid w:val="533046E3"/>
    <w:rsid w:val="533878D4"/>
    <w:rsid w:val="535C3BC3"/>
    <w:rsid w:val="53725533"/>
    <w:rsid w:val="53733FCA"/>
    <w:rsid w:val="537C4F1C"/>
    <w:rsid w:val="539C150B"/>
    <w:rsid w:val="539E62D4"/>
    <w:rsid w:val="53AA1949"/>
    <w:rsid w:val="53C04295"/>
    <w:rsid w:val="53CC6C76"/>
    <w:rsid w:val="53E34555"/>
    <w:rsid w:val="53ED79CC"/>
    <w:rsid w:val="540222C5"/>
    <w:rsid w:val="54293EFC"/>
    <w:rsid w:val="54412B77"/>
    <w:rsid w:val="545E63B1"/>
    <w:rsid w:val="54613A7B"/>
    <w:rsid w:val="54764062"/>
    <w:rsid w:val="54764890"/>
    <w:rsid w:val="548A5D2C"/>
    <w:rsid w:val="549B7C44"/>
    <w:rsid w:val="54A27B91"/>
    <w:rsid w:val="54AE642F"/>
    <w:rsid w:val="54B87DF7"/>
    <w:rsid w:val="54E8506A"/>
    <w:rsid w:val="54F650AF"/>
    <w:rsid w:val="54F94F16"/>
    <w:rsid w:val="54F973B4"/>
    <w:rsid w:val="55053182"/>
    <w:rsid w:val="5528094A"/>
    <w:rsid w:val="5531340F"/>
    <w:rsid w:val="5534771C"/>
    <w:rsid w:val="55362C5D"/>
    <w:rsid w:val="55392055"/>
    <w:rsid w:val="5541782F"/>
    <w:rsid w:val="55666D3D"/>
    <w:rsid w:val="5569054F"/>
    <w:rsid w:val="55714A07"/>
    <w:rsid w:val="557E3C8D"/>
    <w:rsid w:val="558041A0"/>
    <w:rsid w:val="55DA3E1D"/>
    <w:rsid w:val="55DC6623"/>
    <w:rsid w:val="55DD1E8D"/>
    <w:rsid w:val="55F46A6E"/>
    <w:rsid w:val="56282B11"/>
    <w:rsid w:val="563C00B7"/>
    <w:rsid w:val="5657245B"/>
    <w:rsid w:val="565D53A9"/>
    <w:rsid w:val="5676650C"/>
    <w:rsid w:val="569D1D49"/>
    <w:rsid w:val="56A94965"/>
    <w:rsid w:val="56B5723A"/>
    <w:rsid w:val="56BD15B5"/>
    <w:rsid w:val="56D3099E"/>
    <w:rsid w:val="56E70AEB"/>
    <w:rsid w:val="56F3008E"/>
    <w:rsid w:val="57110CF7"/>
    <w:rsid w:val="57244378"/>
    <w:rsid w:val="572900B0"/>
    <w:rsid w:val="57317CFC"/>
    <w:rsid w:val="573D3FF5"/>
    <w:rsid w:val="574115C2"/>
    <w:rsid w:val="57493F9E"/>
    <w:rsid w:val="57854A3A"/>
    <w:rsid w:val="578775D2"/>
    <w:rsid w:val="578D6A2C"/>
    <w:rsid w:val="57922AEE"/>
    <w:rsid w:val="5797667D"/>
    <w:rsid w:val="57AB0B61"/>
    <w:rsid w:val="57C033C9"/>
    <w:rsid w:val="57D95803"/>
    <w:rsid w:val="57E14E6D"/>
    <w:rsid w:val="57EA4C51"/>
    <w:rsid w:val="57FE3F4F"/>
    <w:rsid w:val="5807604C"/>
    <w:rsid w:val="580C32E7"/>
    <w:rsid w:val="5810468E"/>
    <w:rsid w:val="58262F88"/>
    <w:rsid w:val="58340645"/>
    <w:rsid w:val="5872114A"/>
    <w:rsid w:val="588E7A80"/>
    <w:rsid w:val="58954F6D"/>
    <w:rsid w:val="589E5C02"/>
    <w:rsid w:val="58C2622F"/>
    <w:rsid w:val="58C421CE"/>
    <w:rsid w:val="58DA7FB5"/>
    <w:rsid w:val="58DB496D"/>
    <w:rsid w:val="58F66B47"/>
    <w:rsid w:val="592F0A24"/>
    <w:rsid w:val="59445A2E"/>
    <w:rsid w:val="59486852"/>
    <w:rsid w:val="59540FA4"/>
    <w:rsid w:val="595D1820"/>
    <w:rsid w:val="595F6E37"/>
    <w:rsid w:val="596B67E7"/>
    <w:rsid w:val="596C50AB"/>
    <w:rsid w:val="59720526"/>
    <w:rsid w:val="59872D86"/>
    <w:rsid w:val="599B0C5E"/>
    <w:rsid w:val="59B95869"/>
    <w:rsid w:val="59C15CFA"/>
    <w:rsid w:val="59C7048B"/>
    <w:rsid w:val="59C87D9A"/>
    <w:rsid w:val="59CC27D5"/>
    <w:rsid w:val="59E164BE"/>
    <w:rsid w:val="5A0F7784"/>
    <w:rsid w:val="5A3F7DA2"/>
    <w:rsid w:val="5A454368"/>
    <w:rsid w:val="5A674C2B"/>
    <w:rsid w:val="5A7549FB"/>
    <w:rsid w:val="5A845F60"/>
    <w:rsid w:val="5A8561BE"/>
    <w:rsid w:val="5AC6348B"/>
    <w:rsid w:val="5AC83666"/>
    <w:rsid w:val="5AD430F6"/>
    <w:rsid w:val="5AF1450D"/>
    <w:rsid w:val="5AFC14C6"/>
    <w:rsid w:val="5B0D3434"/>
    <w:rsid w:val="5B384B4D"/>
    <w:rsid w:val="5B3D11CF"/>
    <w:rsid w:val="5B4D2CC7"/>
    <w:rsid w:val="5B5644E1"/>
    <w:rsid w:val="5B7C5C20"/>
    <w:rsid w:val="5B94004E"/>
    <w:rsid w:val="5BAA2DEB"/>
    <w:rsid w:val="5BC2471B"/>
    <w:rsid w:val="5BF07B2B"/>
    <w:rsid w:val="5C0B270C"/>
    <w:rsid w:val="5C1807AF"/>
    <w:rsid w:val="5C2F49FF"/>
    <w:rsid w:val="5C3F5EAE"/>
    <w:rsid w:val="5C487B23"/>
    <w:rsid w:val="5C5171A2"/>
    <w:rsid w:val="5C533FE2"/>
    <w:rsid w:val="5C607914"/>
    <w:rsid w:val="5C640F95"/>
    <w:rsid w:val="5C6A01AA"/>
    <w:rsid w:val="5C7B6269"/>
    <w:rsid w:val="5C80415C"/>
    <w:rsid w:val="5CBB0245"/>
    <w:rsid w:val="5CC61742"/>
    <w:rsid w:val="5CF01180"/>
    <w:rsid w:val="5D0C59B1"/>
    <w:rsid w:val="5D1638FF"/>
    <w:rsid w:val="5D2A00CF"/>
    <w:rsid w:val="5D712DC5"/>
    <w:rsid w:val="5D8F6F6C"/>
    <w:rsid w:val="5DB00DE9"/>
    <w:rsid w:val="5DBC67F1"/>
    <w:rsid w:val="5DC91C1A"/>
    <w:rsid w:val="5DE02ED7"/>
    <w:rsid w:val="5DF70839"/>
    <w:rsid w:val="5E0139C7"/>
    <w:rsid w:val="5E0C6F0B"/>
    <w:rsid w:val="5E0F4028"/>
    <w:rsid w:val="5E187E29"/>
    <w:rsid w:val="5E423778"/>
    <w:rsid w:val="5E5A3E57"/>
    <w:rsid w:val="5E9326D6"/>
    <w:rsid w:val="5E9C396D"/>
    <w:rsid w:val="5EA27C90"/>
    <w:rsid w:val="5EF175AD"/>
    <w:rsid w:val="5F0C06C5"/>
    <w:rsid w:val="5F187E14"/>
    <w:rsid w:val="5F215D4C"/>
    <w:rsid w:val="5F255DF3"/>
    <w:rsid w:val="5F38038D"/>
    <w:rsid w:val="5F533EF5"/>
    <w:rsid w:val="5F53448A"/>
    <w:rsid w:val="5F8374B8"/>
    <w:rsid w:val="5F8E0B6B"/>
    <w:rsid w:val="5F922D4C"/>
    <w:rsid w:val="5F9B0CE4"/>
    <w:rsid w:val="5FAB7F02"/>
    <w:rsid w:val="5FB447A3"/>
    <w:rsid w:val="5FBE6A29"/>
    <w:rsid w:val="5FF553F2"/>
    <w:rsid w:val="5FF90017"/>
    <w:rsid w:val="60036474"/>
    <w:rsid w:val="601D7F27"/>
    <w:rsid w:val="606745E7"/>
    <w:rsid w:val="60677997"/>
    <w:rsid w:val="606F43BE"/>
    <w:rsid w:val="60994878"/>
    <w:rsid w:val="609F52EF"/>
    <w:rsid w:val="60B34D5F"/>
    <w:rsid w:val="60B81160"/>
    <w:rsid w:val="60BB0DE1"/>
    <w:rsid w:val="60C63ED7"/>
    <w:rsid w:val="60D44DB9"/>
    <w:rsid w:val="60D61947"/>
    <w:rsid w:val="60D85CE5"/>
    <w:rsid w:val="60E12DE5"/>
    <w:rsid w:val="60FE3609"/>
    <w:rsid w:val="61067479"/>
    <w:rsid w:val="61115374"/>
    <w:rsid w:val="61282522"/>
    <w:rsid w:val="612954F3"/>
    <w:rsid w:val="613A587D"/>
    <w:rsid w:val="61465C04"/>
    <w:rsid w:val="615D4E6D"/>
    <w:rsid w:val="61614F1E"/>
    <w:rsid w:val="616811A9"/>
    <w:rsid w:val="61716A79"/>
    <w:rsid w:val="61767571"/>
    <w:rsid w:val="61803DAF"/>
    <w:rsid w:val="618522CC"/>
    <w:rsid w:val="61DA714A"/>
    <w:rsid w:val="61F469F2"/>
    <w:rsid w:val="620D4F10"/>
    <w:rsid w:val="62315A35"/>
    <w:rsid w:val="62391E0E"/>
    <w:rsid w:val="624F0239"/>
    <w:rsid w:val="625B5693"/>
    <w:rsid w:val="62977E7A"/>
    <w:rsid w:val="62B03FDA"/>
    <w:rsid w:val="62B64629"/>
    <w:rsid w:val="62CA07BF"/>
    <w:rsid w:val="62EB58BC"/>
    <w:rsid w:val="62EE7EE6"/>
    <w:rsid w:val="633158EA"/>
    <w:rsid w:val="63375B74"/>
    <w:rsid w:val="634C2BE2"/>
    <w:rsid w:val="63510BC7"/>
    <w:rsid w:val="63570141"/>
    <w:rsid w:val="639C600B"/>
    <w:rsid w:val="63A45745"/>
    <w:rsid w:val="63A64C5D"/>
    <w:rsid w:val="63AB565F"/>
    <w:rsid w:val="63C41880"/>
    <w:rsid w:val="63C6393F"/>
    <w:rsid w:val="63CD7D6A"/>
    <w:rsid w:val="63D6087A"/>
    <w:rsid w:val="63FA2D5F"/>
    <w:rsid w:val="64115F7D"/>
    <w:rsid w:val="64193236"/>
    <w:rsid w:val="641F3125"/>
    <w:rsid w:val="641F7E93"/>
    <w:rsid w:val="64207D74"/>
    <w:rsid w:val="643877EC"/>
    <w:rsid w:val="643C4998"/>
    <w:rsid w:val="643E7200"/>
    <w:rsid w:val="646016B4"/>
    <w:rsid w:val="64621A0C"/>
    <w:rsid w:val="64653C90"/>
    <w:rsid w:val="64662328"/>
    <w:rsid w:val="6485256D"/>
    <w:rsid w:val="64C14784"/>
    <w:rsid w:val="64C768F3"/>
    <w:rsid w:val="64CA2CA3"/>
    <w:rsid w:val="64D40E37"/>
    <w:rsid w:val="65066269"/>
    <w:rsid w:val="6514560C"/>
    <w:rsid w:val="651A6E26"/>
    <w:rsid w:val="6524075C"/>
    <w:rsid w:val="653114F8"/>
    <w:rsid w:val="6548274E"/>
    <w:rsid w:val="6549559E"/>
    <w:rsid w:val="655866DB"/>
    <w:rsid w:val="65760816"/>
    <w:rsid w:val="657727CF"/>
    <w:rsid w:val="658D187E"/>
    <w:rsid w:val="6595739E"/>
    <w:rsid w:val="65A362EE"/>
    <w:rsid w:val="65B76AEE"/>
    <w:rsid w:val="65C85F01"/>
    <w:rsid w:val="65CA067E"/>
    <w:rsid w:val="65E9794D"/>
    <w:rsid w:val="65EA597E"/>
    <w:rsid w:val="65FF4738"/>
    <w:rsid w:val="66113550"/>
    <w:rsid w:val="6623235C"/>
    <w:rsid w:val="66295BF6"/>
    <w:rsid w:val="66320367"/>
    <w:rsid w:val="663C27E3"/>
    <w:rsid w:val="664151CD"/>
    <w:rsid w:val="665A32CB"/>
    <w:rsid w:val="665D164F"/>
    <w:rsid w:val="667401F7"/>
    <w:rsid w:val="66751E28"/>
    <w:rsid w:val="667A39B5"/>
    <w:rsid w:val="66AA2F61"/>
    <w:rsid w:val="66B458BA"/>
    <w:rsid w:val="66DC440A"/>
    <w:rsid w:val="670D2FBA"/>
    <w:rsid w:val="670F41C7"/>
    <w:rsid w:val="6712029B"/>
    <w:rsid w:val="671461D4"/>
    <w:rsid w:val="6722097C"/>
    <w:rsid w:val="672F5CB0"/>
    <w:rsid w:val="674F5A5A"/>
    <w:rsid w:val="6762693A"/>
    <w:rsid w:val="67694F3C"/>
    <w:rsid w:val="6780756A"/>
    <w:rsid w:val="6781187E"/>
    <w:rsid w:val="67926771"/>
    <w:rsid w:val="67B5390B"/>
    <w:rsid w:val="67C2021C"/>
    <w:rsid w:val="67C2438A"/>
    <w:rsid w:val="67F94859"/>
    <w:rsid w:val="68101318"/>
    <w:rsid w:val="68351369"/>
    <w:rsid w:val="6864706E"/>
    <w:rsid w:val="68982AC3"/>
    <w:rsid w:val="68A600B5"/>
    <w:rsid w:val="68C40351"/>
    <w:rsid w:val="68CD4F3D"/>
    <w:rsid w:val="68DA5E8F"/>
    <w:rsid w:val="68E43503"/>
    <w:rsid w:val="68EF6D84"/>
    <w:rsid w:val="68FF678B"/>
    <w:rsid w:val="690616EB"/>
    <w:rsid w:val="690B4547"/>
    <w:rsid w:val="690F4A86"/>
    <w:rsid w:val="6915071B"/>
    <w:rsid w:val="69512922"/>
    <w:rsid w:val="69931988"/>
    <w:rsid w:val="69A015A7"/>
    <w:rsid w:val="69BA424B"/>
    <w:rsid w:val="69CE0260"/>
    <w:rsid w:val="69DA628E"/>
    <w:rsid w:val="69E43619"/>
    <w:rsid w:val="69EE289A"/>
    <w:rsid w:val="69F13D2E"/>
    <w:rsid w:val="6A007D55"/>
    <w:rsid w:val="6A0B4F9B"/>
    <w:rsid w:val="6A13424C"/>
    <w:rsid w:val="6A170BB2"/>
    <w:rsid w:val="6A4F2EA2"/>
    <w:rsid w:val="6A56434D"/>
    <w:rsid w:val="6A693BBC"/>
    <w:rsid w:val="6A7D61F6"/>
    <w:rsid w:val="6A9202F1"/>
    <w:rsid w:val="6A947A4E"/>
    <w:rsid w:val="6A9519BB"/>
    <w:rsid w:val="6A971772"/>
    <w:rsid w:val="6AA66AB9"/>
    <w:rsid w:val="6AB2003E"/>
    <w:rsid w:val="6ABE1BAF"/>
    <w:rsid w:val="6AC85E7F"/>
    <w:rsid w:val="6ACA17B4"/>
    <w:rsid w:val="6AE3382A"/>
    <w:rsid w:val="6B31288E"/>
    <w:rsid w:val="6B5D27E5"/>
    <w:rsid w:val="6B76731B"/>
    <w:rsid w:val="6B7E1FB9"/>
    <w:rsid w:val="6B814EF0"/>
    <w:rsid w:val="6B8F216E"/>
    <w:rsid w:val="6B92176D"/>
    <w:rsid w:val="6BB3540C"/>
    <w:rsid w:val="6BBA0594"/>
    <w:rsid w:val="6BC03A75"/>
    <w:rsid w:val="6BC96264"/>
    <w:rsid w:val="6BDE4054"/>
    <w:rsid w:val="6C0D7041"/>
    <w:rsid w:val="6C2D3278"/>
    <w:rsid w:val="6C3038BB"/>
    <w:rsid w:val="6C31441D"/>
    <w:rsid w:val="6C417D6D"/>
    <w:rsid w:val="6C7D2DDC"/>
    <w:rsid w:val="6CA72DBB"/>
    <w:rsid w:val="6CAF5890"/>
    <w:rsid w:val="6CB07D5E"/>
    <w:rsid w:val="6CB4534E"/>
    <w:rsid w:val="6CC37B9C"/>
    <w:rsid w:val="6CCB0F06"/>
    <w:rsid w:val="6CDB42AA"/>
    <w:rsid w:val="6CEF4C46"/>
    <w:rsid w:val="6CF21FD3"/>
    <w:rsid w:val="6CF759FD"/>
    <w:rsid w:val="6D04779C"/>
    <w:rsid w:val="6D3C64DB"/>
    <w:rsid w:val="6D4D3954"/>
    <w:rsid w:val="6D6D0797"/>
    <w:rsid w:val="6D720532"/>
    <w:rsid w:val="6D734A8D"/>
    <w:rsid w:val="6D79494A"/>
    <w:rsid w:val="6D7F01E1"/>
    <w:rsid w:val="6D806EE0"/>
    <w:rsid w:val="6D853B8B"/>
    <w:rsid w:val="6D8C11B7"/>
    <w:rsid w:val="6D901C87"/>
    <w:rsid w:val="6DA233BB"/>
    <w:rsid w:val="6DC73630"/>
    <w:rsid w:val="6DD6259E"/>
    <w:rsid w:val="6DE8463F"/>
    <w:rsid w:val="6DF43104"/>
    <w:rsid w:val="6DFF6769"/>
    <w:rsid w:val="6E0F42D7"/>
    <w:rsid w:val="6E10520E"/>
    <w:rsid w:val="6E383560"/>
    <w:rsid w:val="6E3C75E1"/>
    <w:rsid w:val="6E6A2CCE"/>
    <w:rsid w:val="6E7D7914"/>
    <w:rsid w:val="6E803FAB"/>
    <w:rsid w:val="6E980058"/>
    <w:rsid w:val="6E9D1902"/>
    <w:rsid w:val="6EA04D98"/>
    <w:rsid w:val="6EA176A7"/>
    <w:rsid w:val="6EB66255"/>
    <w:rsid w:val="6F4740A1"/>
    <w:rsid w:val="6F9506CD"/>
    <w:rsid w:val="6F995D7A"/>
    <w:rsid w:val="6F9F4E1C"/>
    <w:rsid w:val="6FA33E02"/>
    <w:rsid w:val="6FBE75E3"/>
    <w:rsid w:val="6FC841B3"/>
    <w:rsid w:val="6FD13E69"/>
    <w:rsid w:val="700329CF"/>
    <w:rsid w:val="701350E9"/>
    <w:rsid w:val="70193B84"/>
    <w:rsid w:val="70473147"/>
    <w:rsid w:val="70601A20"/>
    <w:rsid w:val="70802A36"/>
    <w:rsid w:val="7098160C"/>
    <w:rsid w:val="709D68B7"/>
    <w:rsid w:val="70A57956"/>
    <w:rsid w:val="70C51232"/>
    <w:rsid w:val="70D03477"/>
    <w:rsid w:val="711552EE"/>
    <w:rsid w:val="7136046B"/>
    <w:rsid w:val="71385225"/>
    <w:rsid w:val="713877D9"/>
    <w:rsid w:val="7181502C"/>
    <w:rsid w:val="71AF38AC"/>
    <w:rsid w:val="71C479D1"/>
    <w:rsid w:val="71C47E4E"/>
    <w:rsid w:val="71CB60DC"/>
    <w:rsid w:val="71DA4CBE"/>
    <w:rsid w:val="71E843B7"/>
    <w:rsid w:val="720B144F"/>
    <w:rsid w:val="721125C0"/>
    <w:rsid w:val="721957C7"/>
    <w:rsid w:val="724E5421"/>
    <w:rsid w:val="72610CEA"/>
    <w:rsid w:val="726D1E7E"/>
    <w:rsid w:val="729F5273"/>
    <w:rsid w:val="72A52DD3"/>
    <w:rsid w:val="72AA6F75"/>
    <w:rsid w:val="72B5090D"/>
    <w:rsid w:val="72C76F05"/>
    <w:rsid w:val="72CA3347"/>
    <w:rsid w:val="72D35423"/>
    <w:rsid w:val="72DE4488"/>
    <w:rsid w:val="72F03E52"/>
    <w:rsid w:val="73005BBB"/>
    <w:rsid w:val="73057817"/>
    <w:rsid w:val="730E3113"/>
    <w:rsid w:val="731912A8"/>
    <w:rsid w:val="734A5219"/>
    <w:rsid w:val="73557D4F"/>
    <w:rsid w:val="73572873"/>
    <w:rsid w:val="7358459E"/>
    <w:rsid w:val="736935D7"/>
    <w:rsid w:val="737118EB"/>
    <w:rsid w:val="737662C5"/>
    <w:rsid w:val="737E50A7"/>
    <w:rsid w:val="737F2406"/>
    <w:rsid w:val="738244FF"/>
    <w:rsid w:val="73AA221C"/>
    <w:rsid w:val="73D3288B"/>
    <w:rsid w:val="73F53B16"/>
    <w:rsid w:val="74086547"/>
    <w:rsid w:val="74495658"/>
    <w:rsid w:val="744B1816"/>
    <w:rsid w:val="7469117C"/>
    <w:rsid w:val="748840EB"/>
    <w:rsid w:val="74987E60"/>
    <w:rsid w:val="74A137FB"/>
    <w:rsid w:val="74AE616A"/>
    <w:rsid w:val="74AF5F61"/>
    <w:rsid w:val="74DE227A"/>
    <w:rsid w:val="7500263E"/>
    <w:rsid w:val="750A7D40"/>
    <w:rsid w:val="75144EA3"/>
    <w:rsid w:val="75452453"/>
    <w:rsid w:val="75522119"/>
    <w:rsid w:val="75600CB3"/>
    <w:rsid w:val="758678F1"/>
    <w:rsid w:val="75926AC5"/>
    <w:rsid w:val="75A827E0"/>
    <w:rsid w:val="75B90DC1"/>
    <w:rsid w:val="75BC3E5E"/>
    <w:rsid w:val="75E86C33"/>
    <w:rsid w:val="7603527E"/>
    <w:rsid w:val="76090183"/>
    <w:rsid w:val="7618037D"/>
    <w:rsid w:val="762A7EFA"/>
    <w:rsid w:val="762B6D7D"/>
    <w:rsid w:val="76306827"/>
    <w:rsid w:val="764052DA"/>
    <w:rsid w:val="76413C7D"/>
    <w:rsid w:val="76421D5A"/>
    <w:rsid w:val="764517F5"/>
    <w:rsid w:val="767D79C3"/>
    <w:rsid w:val="768D34DA"/>
    <w:rsid w:val="76A349BD"/>
    <w:rsid w:val="76A84A41"/>
    <w:rsid w:val="76B52A1E"/>
    <w:rsid w:val="76B545CB"/>
    <w:rsid w:val="76F15E0C"/>
    <w:rsid w:val="770E2C1A"/>
    <w:rsid w:val="77456248"/>
    <w:rsid w:val="776F0812"/>
    <w:rsid w:val="77A40880"/>
    <w:rsid w:val="77A502A9"/>
    <w:rsid w:val="77CD7899"/>
    <w:rsid w:val="77E61CF3"/>
    <w:rsid w:val="77EA5BA3"/>
    <w:rsid w:val="77F50AA1"/>
    <w:rsid w:val="77FD20BA"/>
    <w:rsid w:val="781570D9"/>
    <w:rsid w:val="78217520"/>
    <w:rsid w:val="78220463"/>
    <w:rsid w:val="78290A4A"/>
    <w:rsid w:val="78327BE9"/>
    <w:rsid w:val="7859693C"/>
    <w:rsid w:val="786B3DCD"/>
    <w:rsid w:val="78702DC6"/>
    <w:rsid w:val="78980BC8"/>
    <w:rsid w:val="789F4D56"/>
    <w:rsid w:val="78A47B70"/>
    <w:rsid w:val="78C070A2"/>
    <w:rsid w:val="78F775D0"/>
    <w:rsid w:val="78FE5B9E"/>
    <w:rsid w:val="790A4866"/>
    <w:rsid w:val="791209F5"/>
    <w:rsid w:val="7920724B"/>
    <w:rsid w:val="793303AE"/>
    <w:rsid w:val="79423448"/>
    <w:rsid w:val="794632A4"/>
    <w:rsid w:val="794B0D13"/>
    <w:rsid w:val="794D2BE3"/>
    <w:rsid w:val="799163AC"/>
    <w:rsid w:val="79B01AEA"/>
    <w:rsid w:val="79B96AB3"/>
    <w:rsid w:val="79BF62D0"/>
    <w:rsid w:val="79BF657D"/>
    <w:rsid w:val="79FF09A2"/>
    <w:rsid w:val="7A113BE7"/>
    <w:rsid w:val="7A1D3D42"/>
    <w:rsid w:val="7A27482F"/>
    <w:rsid w:val="7A401CD0"/>
    <w:rsid w:val="7A6545E9"/>
    <w:rsid w:val="7A682EA8"/>
    <w:rsid w:val="7A70595C"/>
    <w:rsid w:val="7A8172B8"/>
    <w:rsid w:val="7A841E44"/>
    <w:rsid w:val="7A8D578A"/>
    <w:rsid w:val="7A963C2A"/>
    <w:rsid w:val="7AA2224A"/>
    <w:rsid w:val="7AAD11EE"/>
    <w:rsid w:val="7AB212F2"/>
    <w:rsid w:val="7ABA5730"/>
    <w:rsid w:val="7ABD1BF0"/>
    <w:rsid w:val="7ACC6AA2"/>
    <w:rsid w:val="7B05561F"/>
    <w:rsid w:val="7B146BF0"/>
    <w:rsid w:val="7B1759AB"/>
    <w:rsid w:val="7B321E5D"/>
    <w:rsid w:val="7B501602"/>
    <w:rsid w:val="7B5F3A80"/>
    <w:rsid w:val="7B602FA9"/>
    <w:rsid w:val="7B751F0F"/>
    <w:rsid w:val="7BAB604D"/>
    <w:rsid w:val="7BB001F8"/>
    <w:rsid w:val="7BB53788"/>
    <w:rsid w:val="7BB96489"/>
    <w:rsid w:val="7BBA4385"/>
    <w:rsid w:val="7BD648E4"/>
    <w:rsid w:val="7BD82B0D"/>
    <w:rsid w:val="7C0C0947"/>
    <w:rsid w:val="7C1E715B"/>
    <w:rsid w:val="7C2B4CB9"/>
    <w:rsid w:val="7C376828"/>
    <w:rsid w:val="7C462BB8"/>
    <w:rsid w:val="7C4C06B2"/>
    <w:rsid w:val="7C5D74EB"/>
    <w:rsid w:val="7C701B47"/>
    <w:rsid w:val="7C795C9A"/>
    <w:rsid w:val="7C7C2169"/>
    <w:rsid w:val="7C800E16"/>
    <w:rsid w:val="7C99137B"/>
    <w:rsid w:val="7CA56D5D"/>
    <w:rsid w:val="7CC22D88"/>
    <w:rsid w:val="7CCF39FC"/>
    <w:rsid w:val="7CD21F5D"/>
    <w:rsid w:val="7CFB1810"/>
    <w:rsid w:val="7D0179F0"/>
    <w:rsid w:val="7D233E64"/>
    <w:rsid w:val="7D2A4D69"/>
    <w:rsid w:val="7D320C98"/>
    <w:rsid w:val="7D752FB1"/>
    <w:rsid w:val="7DA53BEB"/>
    <w:rsid w:val="7DB65EFC"/>
    <w:rsid w:val="7DB75BF3"/>
    <w:rsid w:val="7DC04E9D"/>
    <w:rsid w:val="7DCB5498"/>
    <w:rsid w:val="7DCF6290"/>
    <w:rsid w:val="7DD82FFD"/>
    <w:rsid w:val="7E3571F8"/>
    <w:rsid w:val="7E3F5FD5"/>
    <w:rsid w:val="7E7A5319"/>
    <w:rsid w:val="7E7E0BDD"/>
    <w:rsid w:val="7E81544F"/>
    <w:rsid w:val="7E9078CE"/>
    <w:rsid w:val="7EAC2A95"/>
    <w:rsid w:val="7EB942E6"/>
    <w:rsid w:val="7EEF4939"/>
    <w:rsid w:val="7EFA6744"/>
    <w:rsid w:val="7F012891"/>
    <w:rsid w:val="7F460E95"/>
    <w:rsid w:val="7F6937F4"/>
    <w:rsid w:val="7F6E7815"/>
    <w:rsid w:val="7F72680F"/>
    <w:rsid w:val="7F837A6F"/>
    <w:rsid w:val="7F875BA2"/>
    <w:rsid w:val="7FA62CED"/>
    <w:rsid w:val="7FA8305B"/>
    <w:rsid w:val="7FAD3CB4"/>
    <w:rsid w:val="7FBA711A"/>
    <w:rsid w:val="7FC93E4F"/>
    <w:rsid w:val="7FCE57F6"/>
    <w:rsid w:val="7FD11543"/>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530"/>
    </w:pPr>
    <w:rPr>
      <w:rFonts w:ascii="宋体" w:hAnsi="宋体" w:eastAsia="宋体" w:cs="宋体"/>
      <w:sz w:val="31"/>
      <w:szCs w:val="31"/>
      <w:lang w:val="zh-CN" w:eastAsia="zh-CN" w:bidi="zh-CN"/>
    </w:rPr>
  </w:style>
  <w:style w:type="paragraph" w:styleId="3">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5">
    <w:name w:val="Normal Indent"/>
    <w:basedOn w:val="1"/>
    <w:unhideWhenUsed/>
    <w:qFormat/>
    <w:uiPriority w:val="99"/>
    <w:pPr>
      <w:ind w:firstLine="640" w:firstLineChars="200"/>
    </w:pPr>
    <w:rPr>
      <w:rFonts w:ascii="仿宋_GB2312" w:hAnsi="仿宋" w:eastAsia="仿宋_GB2312" w:cs="仿宋"/>
      <w:sz w:val="32"/>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21"/>
    <w:basedOn w:val="1"/>
    <w:next w:val="1"/>
    <w:qFormat/>
    <w:uiPriority w:val="0"/>
    <w:pPr>
      <w:spacing w:before="100" w:beforeAutospacing="1" w:after="100" w:afterAutospacing="1"/>
      <w:ind w:left="420" w:leftChars="200"/>
    </w:pPr>
  </w:style>
  <w:style w:type="paragraph" w:customStyle="1" w:styleId="14">
    <w:name w:val="WPSOffice手动目录 1"/>
    <w:qFormat/>
    <w:uiPriority w:val="0"/>
    <w:pPr>
      <w:ind w:leftChars="0"/>
    </w:pPr>
    <w:rPr>
      <w:rFonts w:asciiTheme="minorHAnsi" w:hAnsiTheme="minorHAnsi" w:eastAsiaTheme="minorHAnsi" w:cstheme="minorBidi"/>
      <w:sz w:val="20"/>
      <w:szCs w:val="20"/>
    </w:rPr>
  </w:style>
  <w:style w:type="paragraph" w:customStyle="1" w:styleId="15">
    <w:name w:val="List Paragraph"/>
    <w:basedOn w:val="1"/>
    <w:qFormat/>
    <w:uiPriority w:val="1"/>
    <w:pPr>
      <w:ind w:left="530" w:firstLine="645"/>
    </w:pPr>
    <w:rPr>
      <w:rFonts w:ascii="宋体" w:hAnsi="宋体" w:eastAsia="宋体" w:cs="宋体"/>
      <w:lang w:val="zh-CN" w:eastAsia="zh-CN" w:bidi="zh-CN"/>
    </w:rPr>
  </w:style>
  <w:style w:type="paragraph" w:customStyle="1" w:styleId="16">
    <w:name w:val="公文2"/>
    <w:basedOn w:val="1"/>
    <w:qFormat/>
    <w:uiPriority w:val="0"/>
    <w:pPr>
      <w:numPr>
        <w:ilvl w:val="1"/>
        <w:numId w:val="1"/>
      </w:numPr>
      <w:outlineLvl w:val="1"/>
    </w:pPr>
    <w:rPr>
      <w:rFonts w:ascii="Arial" w:hAnsi="Arial" w:eastAsia="仿宋_GB2312"/>
      <w:bCs/>
      <w:sz w:val="32"/>
      <w:szCs w:val="32"/>
    </w:rPr>
  </w:style>
  <w:style w:type="character" w:customStyle="1" w:styleId="17">
    <w:name w:val="fontstyle01"/>
    <w:basedOn w:val="12"/>
    <w:qFormat/>
    <w:uiPriority w:val="0"/>
    <w:rPr>
      <w:rFonts w:ascii="FZFSK--GBK1-0" w:hAnsi="FZFSK--GBK1-0" w:eastAsia="FZFSK--GBK1-0" w:cs="FZFSK--GBK1-0"/>
      <w:color w:val="000000"/>
      <w:sz w:val="30"/>
      <w:szCs w:val="30"/>
    </w:rPr>
  </w:style>
  <w:style w:type="character" w:customStyle="1" w:styleId="18">
    <w:name w:val="fontstyle21"/>
    <w:basedOn w:val="12"/>
    <w:qFormat/>
    <w:uiPriority w:val="0"/>
    <w:rPr>
      <w:rFonts w:ascii="TimesNewRomanPSMT" w:hAnsi="TimesNewRomanPSMT" w:eastAsia="TimesNewRomanPSMT" w:cs="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7452</Words>
  <Characters>7754</Characters>
  <Lines>0</Lines>
  <Paragraphs>0</Paragraphs>
  <TotalTime>6</TotalTime>
  <ScaleCrop>false</ScaleCrop>
  <LinksUpToDate>false</LinksUpToDate>
  <CharactersWithSpaces>8746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2021-12-23T02:48:00Z</cp:lastPrinted>
  <dcterms:modified xsi:type="dcterms:W3CDTF">2024-12-25T09:39:01Z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02FE611794544255B5146D8DF179196C</vt:lpwstr>
  </property>
</Properties>
</file>