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sz w:val="32"/>
          <w:szCs w:val="32"/>
        </w:rPr>
      </w:pPr>
    </w:p>
    <w:p>
      <w:pPr>
        <w:jc w:val="center"/>
        <w:rPr>
          <w:rFonts w:asciiTheme="minorEastAsia" w:hAnsiTheme="minorEastAsia" w:eastAsiaTheme="minorEastAsia"/>
          <w:sz w:val="32"/>
          <w:szCs w:val="32"/>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广西</w:t>
      </w:r>
      <w:r>
        <w:rPr>
          <w:rFonts w:asciiTheme="minorEastAsia" w:hAnsiTheme="minorEastAsia" w:eastAsiaTheme="minorEastAsia"/>
          <w:b/>
          <w:sz w:val="44"/>
          <w:szCs w:val="44"/>
        </w:rPr>
        <w:t>电力</w:t>
      </w:r>
      <w:r>
        <w:rPr>
          <w:rFonts w:hint="eastAsia" w:asciiTheme="minorEastAsia" w:hAnsiTheme="minorEastAsia" w:eastAsiaTheme="minorEastAsia"/>
          <w:b/>
          <w:sz w:val="44"/>
          <w:szCs w:val="44"/>
          <w:lang w:val="en-US" w:eastAsia="zh-CN"/>
        </w:rPr>
        <w:t>中长期交易</w:t>
      </w:r>
      <w:r>
        <w:rPr>
          <w:rFonts w:asciiTheme="minorEastAsia" w:hAnsiTheme="minorEastAsia" w:eastAsiaTheme="minorEastAsia"/>
          <w:b/>
          <w:sz w:val="44"/>
          <w:szCs w:val="44"/>
        </w:rPr>
        <w:t>三方合同</w:t>
      </w: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（电力用户</w:t>
      </w:r>
      <w:bookmarkStart w:id="126" w:name="_GoBack"/>
      <w:bookmarkEnd w:id="126"/>
      <w:r>
        <w:rPr>
          <w:rFonts w:hint="eastAsia" w:asciiTheme="minorEastAsia" w:hAnsiTheme="minorEastAsia" w:eastAsiaTheme="minorEastAsia"/>
          <w:b/>
          <w:sz w:val="44"/>
          <w:szCs w:val="44"/>
          <w:lang w:eastAsia="zh-CN"/>
        </w:rPr>
        <w:t>）</w:t>
      </w:r>
    </w:p>
    <w:p>
      <w:pPr>
        <w:rPr>
          <w:rFonts w:asciiTheme="minorEastAsia" w:hAnsiTheme="minorEastAsia" w:eastAsiaTheme="minorEastAsia"/>
          <w:sz w:val="32"/>
          <w:szCs w:val="32"/>
        </w:rPr>
      </w:pPr>
    </w:p>
    <w:p>
      <w:pPr>
        <w:pStyle w:val="2"/>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甲方（购电方）：</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 xml:space="preserve">乙方（售电方）：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丙方（输配电方）：</w:t>
      </w:r>
      <w:r>
        <w:rPr>
          <w:rFonts w:hint="eastAsia" w:asciiTheme="minorEastAsia" w:hAnsiTheme="minorEastAsia" w:eastAsiaTheme="minorEastAsia"/>
          <w:b/>
          <w:sz w:val="32"/>
          <w:szCs w:val="32"/>
        </w:rPr>
        <w:t xml:space="preserve">  </w:t>
      </w:r>
    </w:p>
    <w:p>
      <w:pPr>
        <w:rPr>
          <w:rFonts w:asciiTheme="minorEastAsia" w:hAnsiTheme="minorEastAsia" w:eastAsiaTheme="minorEastAsia"/>
          <w:sz w:val="32"/>
          <w:szCs w:val="32"/>
        </w:rPr>
      </w:pPr>
    </w:p>
    <w:p>
      <w:pPr>
        <w:ind w:firstLine="2249" w:firstLineChars="700"/>
        <w:rPr>
          <w:rFonts w:asciiTheme="minorEastAsia" w:hAnsiTheme="minorEastAsia" w:eastAsiaTheme="minorEastAsia"/>
          <w:b/>
          <w:sz w:val="32"/>
          <w:szCs w:val="32"/>
        </w:rPr>
      </w:pPr>
    </w:p>
    <w:p>
      <w:pPr>
        <w:ind w:firstLine="2249" w:firstLineChars="700"/>
        <w:rPr>
          <w:rFonts w:hint="eastAsia" w:asciiTheme="minorEastAsia" w:hAnsiTheme="minorEastAsia" w:eastAsiaTheme="minorEastAsia"/>
          <w:b/>
          <w:sz w:val="32"/>
          <w:szCs w:val="32"/>
        </w:rPr>
      </w:pPr>
      <w:r>
        <w:rPr>
          <w:rFonts w:asciiTheme="minorEastAsia" w:hAnsiTheme="minorEastAsia" w:eastAsiaTheme="minorEastAsia"/>
          <w:b/>
          <w:sz w:val="32"/>
          <w:szCs w:val="32"/>
        </w:rPr>
        <w:t>签订时间：</w:t>
      </w:r>
      <w:r>
        <w:rPr>
          <w:rFonts w:hint="eastAsia" w:asciiTheme="minorEastAsia" w:hAnsiTheme="minorEastAsia" w:eastAsiaTheme="minorEastAsia"/>
          <w:b/>
          <w:sz w:val="32"/>
          <w:szCs w:val="32"/>
        </w:rPr>
        <w:t>20</w:t>
      </w:r>
      <w:r>
        <w:rPr>
          <w:rFonts w:hint="eastAsia" w:asciiTheme="minorEastAsia" w:hAnsiTheme="minorEastAsia" w:eastAsiaTheme="minorEastAsia"/>
          <w:b/>
          <w:sz w:val="32"/>
          <w:szCs w:val="32"/>
          <w:lang w:val="en-US" w:eastAsia="zh-CN"/>
        </w:rPr>
        <w:t xml:space="preserve">    </w:t>
      </w:r>
      <w:r>
        <w:rPr>
          <w:rFonts w:hint="eastAsia" w:asciiTheme="minorEastAsia" w:hAnsiTheme="minorEastAsia" w:eastAsiaTheme="minorEastAsia"/>
          <w:b/>
          <w:sz w:val="32"/>
          <w:szCs w:val="32"/>
        </w:rPr>
        <w:t>年  月</w:t>
      </w:r>
    </w:p>
    <w:p>
      <w:pPr>
        <w:ind w:firstLine="2249" w:firstLineChars="700"/>
        <w:rPr>
          <w:rFonts w:hint="eastAsia" w:asciiTheme="minorEastAsia" w:hAnsiTheme="minorEastAsia" w:eastAsiaTheme="minorEastAsia"/>
          <w:b/>
          <w:sz w:val="32"/>
          <w:szCs w:val="32"/>
        </w:rPr>
      </w:pPr>
    </w:p>
    <w:p>
      <w:pPr>
        <w:jc w:val="both"/>
        <w:rPr>
          <w:rFonts w:asciiTheme="minorEastAsia" w:hAnsiTheme="minorEastAsia" w:eastAsiaTheme="minorEastAsia"/>
          <w:b/>
          <w:bCs/>
          <w:sz w:val="28"/>
          <w:szCs w:val="28"/>
        </w:rPr>
        <w:sectPr>
          <w:footerReference r:id="rId5" w:type="first"/>
          <w:footerReference r:id="rId4" w:type="default"/>
          <w:endnotePr>
            <w:numFmt w:val="decimal"/>
          </w:endnotePr>
          <w:pgSz w:w="11906" w:h="16838"/>
          <w:pgMar w:top="1247" w:right="1133" w:bottom="1871" w:left="1418" w:header="851" w:footer="992" w:gutter="0"/>
          <w:pgNumType w:start="1"/>
          <w:cols w:space="720" w:num="1"/>
          <w:titlePg/>
          <w:docGrid w:type="lines" w:linePitch="312" w:charSpace="0"/>
        </w:sectPr>
      </w:pPr>
    </w:p>
    <w:p>
      <w:pPr>
        <w:jc w:val="center"/>
        <w:rPr>
          <w:rFonts w:asciiTheme="minorEastAsia" w:hAnsiTheme="minorEastAsia" w:eastAsiaTheme="minorEastAsia"/>
          <w:b/>
          <w:bCs/>
          <w:sz w:val="28"/>
          <w:szCs w:val="28"/>
        </w:rPr>
      </w:pPr>
      <w:r>
        <w:rPr>
          <w:rFonts w:asciiTheme="minorEastAsia" w:hAnsiTheme="minorEastAsia" w:eastAsiaTheme="minorEastAsia"/>
          <w:b/>
          <w:bCs/>
          <w:sz w:val="44"/>
          <w:szCs w:val="44"/>
        </w:rPr>
        <w:t>目</w:t>
      </w:r>
      <w:r>
        <w:rPr>
          <w:rFonts w:hint="eastAsia" w:asciiTheme="minorEastAsia" w:hAnsiTheme="minorEastAsia" w:eastAsiaTheme="minorEastAsia"/>
          <w:b/>
          <w:bCs/>
          <w:sz w:val="44"/>
          <w:szCs w:val="44"/>
          <w:lang w:val="en-US" w:eastAsia="zh-CN"/>
        </w:rPr>
        <w:t xml:space="preserve">  </w:t>
      </w:r>
      <w:r>
        <w:rPr>
          <w:rFonts w:asciiTheme="minorEastAsia" w:hAnsiTheme="minorEastAsia" w:eastAsiaTheme="minorEastAsia"/>
          <w:b/>
          <w:bCs/>
          <w:sz w:val="44"/>
          <w:szCs w:val="44"/>
        </w:rPr>
        <w:t>录</w:t>
      </w:r>
    </w:p>
    <w:p>
      <w:pPr>
        <w:pStyle w:val="12"/>
        <w:tabs>
          <w:tab w:val="right" w:leader="dot" w:pos="9355"/>
        </w:tabs>
        <w:rPr>
          <w:rFonts w:hint="eastAsia" w:ascii="宋体" w:hAnsi="宋体" w:eastAsia="宋体" w:cs="宋体"/>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TOC \o "1-3" \h \z \u </w:instrText>
      </w:r>
      <w:r>
        <w:rPr>
          <w:rFonts w:hint="eastAsia" w:asciiTheme="minorEastAsia" w:hAnsiTheme="minorEastAsia" w:eastAsiaTheme="minorEastAsia" w:cstheme="minorEastAsia"/>
          <w:sz w:val="28"/>
          <w:szCs w:val="28"/>
        </w:rP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_Toc17274 </w:instrText>
      </w:r>
      <w:r>
        <w:rPr>
          <w:rFonts w:hint="eastAsia" w:ascii="宋体" w:hAnsi="宋体" w:eastAsia="宋体" w:cs="宋体"/>
          <w:sz w:val="28"/>
          <w:szCs w:val="28"/>
        </w:rPr>
        <w:fldChar w:fldCharType="separate"/>
      </w:r>
      <w:r>
        <w:rPr>
          <w:rFonts w:hint="eastAsia" w:ascii="宋体" w:hAnsi="宋体" w:eastAsia="宋体" w:cs="宋体"/>
          <w:sz w:val="28"/>
          <w:szCs w:val="28"/>
        </w:rPr>
        <w:t>第1章　定义和说明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_Toc17274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_Toc12799 </w:instrText>
      </w:r>
      <w:r>
        <w:rPr>
          <w:rFonts w:hint="eastAsia" w:ascii="宋体" w:hAnsi="宋体" w:eastAsia="宋体" w:cs="宋体"/>
          <w:sz w:val="28"/>
          <w:szCs w:val="28"/>
        </w:rPr>
        <w:fldChar w:fldCharType="separate"/>
      </w:r>
      <w:r>
        <w:rPr>
          <w:rFonts w:hint="eastAsia" w:ascii="宋体" w:hAnsi="宋体" w:eastAsia="宋体" w:cs="宋体"/>
          <w:sz w:val="28"/>
          <w:szCs w:val="28"/>
        </w:rPr>
        <w:t>第2章　三方陈述</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_Toc12799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_Toc6578 </w:instrText>
      </w:r>
      <w:r>
        <w:rPr>
          <w:rFonts w:hint="eastAsia" w:ascii="宋体" w:hAnsi="宋体" w:eastAsia="宋体" w:cs="宋体"/>
          <w:sz w:val="28"/>
          <w:szCs w:val="28"/>
        </w:rPr>
        <w:fldChar w:fldCharType="separate"/>
      </w:r>
      <w:r>
        <w:rPr>
          <w:rFonts w:hint="eastAsia" w:ascii="宋体" w:hAnsi="宋体" w:eastAsia="宋体" w:cs="宋体"/>
          <w:sz w:val="28"/>
          <w:szCs w:val="28"/>
        </w:rPr>
        <w:t>第3章　三方的权利和义务</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_Toc6578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_Toc23362 </w:instrText>
      </w:r>
      <w:r>
        <w:rPr>
          <w:rFonts w:hint="eastAsia" w:ascii="宋体" w:hAnsi="宋体" w:eastAsia="宋体" w:cs="宋体"/>
          <w:sz w:val="28"/>
          <w:szCs w:val="28"/>
        </w:rPr>
        <w:fldChar w:fldCharType="separate"/>
      </w:r>
      <w:r>
        <w:rPr>
          <w:rFonts w:hint="eastAsia" w:ascii="宋体" w:hAnsi="宋体" w:eastAsia="宋体" w:cs="宋体"/>
          <w:sz w:val="28"/>
          <w:szCs w:val="28"/>
        </w:rPr>
        <w:t>第4章　交易电量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电价</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_Toc23362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_Toc13635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5</w:t>
      </w:r>
      <w:r>
        <w:rPr>
          <w:rFonts w:hint="eastAsia" w:ascii="宋体" w:hAnsi="宋体" w:eastAsia="宋体" w:cs="宋体"/>
          <w:sz w:val="28"/>
          <w:szCs w:val="28"/>
        </w:rPr>
        <w:t>章　电能计量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_Toc13635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_Toc28960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6</w:t>
      </w:r>
      <w:r>
        <w:rPr>
          <w:rFonts w:hint="eastAsia" w:ascii="宋体" w:hAnsi="宋体" w:eastAsia="宋体" w:cs="宋体"/>
          <w:sz w:val="28"/>
          <w:szCs w:val="28"/>
        </w:rPr>
        <w:t>章　结算和支付</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_Toc28960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_Toc11808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7</w:t>
      </w:r>
      <w:r>
        <w:rPr>
          <w:rFonts w:hint="eastAsia" w:ascii="宋体" w:hAnsi="宋体" w:eastAsia="宋体" w:cs="宋体"/>
          <w:sz w:val="28"/>
          <w:szCs w:val="28"/>
        </w:rPr>
        <w:t>章　合同变更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_Toc11808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_Toc31434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8</w:t>
      </w:r>
      <w:r>
        <w:rPr>
          <w:rFonts w:hint="eastAsia" w:ascii="宋体" w:hAnsi="宋体" w:eastAsia="宋体" w:cs="宋体"/>
          <w:sz w:val="28"/>
          <w:szCs w:val="28"/>
        </w:rPr>
        <w:t>章　合同违约和</w:t>
      </w:r>
      <w:r>
        <w:rPr>
          <w:rFonts w:hint="eastAsia" w:ascii="宋体" w:hAnsi="宋体" w:eastAsia="宋体" w:cs="宋体"/>
          <w:sz w:val="28"/>
          <w:szCs w:val="28"/>
          <w:lang w:eastAsia="zh-CN"/>
        </w:rPr>
        <w:t>赔偿</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_Toc31434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_Toc18808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9</w:t>
      </w:r>
      <w:r>
        <w:rPr>
          <w:rFonts w:hint="eastAsia" w:ascii="宋体" w:hAnsi="宋体" w:eastAsia="宋体" w:cs="宋体"/>
          <w:sz w:val="28"/>
          <w:szCs w:val="28"/>
        </w:rPr>
        <w:t>章  合同解除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_Toc18808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_Toc16476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0</w:t>
      </w:r>
      <w:r>
        <w:rPr>
          <w:rFonts w:hint="eastAsia" w:ascii="宋体" w:hAnsi="宋体" w:eastAsia="宋体" w:cs="宋体"/>
          <w:sz w:val="28"/>
          <w:szCs w:val="28"/>
        </w:rPr>
        <w:t>章　免责条款</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_Toc16476 \h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_Toc28696 </w:instrText>
      </w:r>
      <w:r>
        <w:rPr>
          <w:rFonts w:hint="eastAsia" w:ascii="宋体" w:hAnsi="宋体" w:eastAsia="宋体" w:cs="宋体"/>
          <w:sz w:val="28"/>
          <w:szCs w:val="28"/>
        </w:rPr>
        <w:fldChar w:fldCharType="separate"/>
      </w:r>
      <w:r>
        <w:rPr>
          <w:rFonts w:hint="eastAsia" w:ascii="宋体" w:hAnsi="宋体" w:eastAsia="宋体" w:cs="宋体"/>
          <w:sz w:val="28"/>
          <w:szCs w:val="28"/>
          <w:lang w:val="en-US" w:eastAsia="zh-CN"/>
        </w:rPr>
        <w:t>第11章</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争议的解决</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_Toc28696 \h </w:instrText>
      </w:r>
      <w:r>
        <w:rPr>
          <w:rFonts w:hint="eastAsia" w:ascii="宋体" w:hAnsi="宋体" w:eastAsia="宋体" w:cs="宋体"/>
          <w:sz w:val="28"/>
          <w:szCs w:val="28"/>
        </w:rPr>
        <w:fldChar w:fldCharType="separate"/>
      </w:r>
      <w:r>
        <w:rPr>
          <w:rFonts w:hint="eastAsia"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_Toc11294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2</w:t>
      </w:r>
      <w:r>
        <w:rPr>
          <w:rFonts w:hint="eastAsia" w:ascii="宋体" w:hAnsi="宋体" w:eastAsia="宋体" w:cs="宋体"/>
          <w:sz w:val="28"/>
          <w:szCs w:val="28"/>
        </w:rPr>
        <w:t>章　适用法律</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_Toc11294 \h </w:instrText>
      </w:r>
      <w:r>
        <w:rPr>
          <w:rFonts w:hint="eastAsia" w:ascii="宋体" w:hAnsi="宋体" w:eastAsia="宋体" w:cs="宋体"/>
          <w:sz w:val="28"/>
          <w:szCs w:val="28"/>
        </w:rPr>
        <w:fldChar w:fldCharType="separate"/>
      </w:r>
      <w:r>
        <w:rPr>
          <w:rFonts w:hint="eastAsia"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_Toc15629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3</w:t>
      </w:r>
      <w:r>
        <w:rPr>
          <w:rFonts w:hint="eastAsia" w:ascii="宋体" w:hAnsi="宋体" w:eastAsia="宋体" w:cs="宋体"/>
          <w:sz w:val="28"/>
          <w:szCs w:val="28"/>
        </w:rPr>
        <w:t>章　合同生效和期限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_Toc15629 \h </w:instrText>
      </w:r>
      <w:r>
        <w:rPr>
          <w:rFonts w:hint="eastAsia" w:ascii="宋体" w:hAnsi="宋体" w:eastAsia="宋体" w:cs="宋体"/>
          <w:sz w:val="28"/>
          <w:szCs w:val="28"/>
        </w:rPr>
        <w:fldChar w:fldCharType="separate"/>
      </w:r>
      <w:r>
        <w:rPr>
          <w:rFonts w:hint="eastAsia"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_Toc1834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4</w:t>
      </w:r>
      <w:r>
        <w:rPr>
          <w:rFonts w:hint="eastAsia" w:ascii="宋体" w:hAnsi="宋体" w:eastAsia="宋体" w:cs="宋体"/>
          <w:sz w:val="28"/>
          <w:szCs w:val="28"/>
        </w:rPr>
        <w:t>章　其他</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_Toc1834 \h </w:instrText>
      </w:r>
      <w:r>
        <w:rPr>
          <w:rFonts w:hint="eastAsia" w:ascii="宋体" w:hAnsi="宋体" w:eastAsia="宋体" w:cs="宋体"/>
          <w:sz w:val="28"/>
          <w:szCs w:val="28"/>
        </w:rPr>
        <w:fldChar w:fldCharType="separate"/>
      </w:r>
      <w:r>
        <w:rPr>
          <w:rFonts w:hint="eastAsia"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rPr>
          <w:rFonts w:asciiTheme="minorEastAsia" w:hAnsiTheme="minorEastAsia" w:eastAsiaTheme="minorEastAsia"/>
          <w:b/>
          <w:sz w:val="28"/>
          <w:szCs w:val="28"/>
        </w:rPr>
      </w:pPr>
      <w:r>
        <w:rPr>
          <w:rFonts w:hint="eastAsia" w:asciiTheme="minorEastAsia" w:hAnsiTheme="minorEastAsia" w:eastAsiaTheme="minorEastAsia" w:cstheme="minorEastAsia"/>
          <w:szCs w:val="28"/>
        </w:rPr>
        <w:fldChar w:fldCharType="end"/>
      </w:r>
    </w:p>
    <w:p>
      <w:pPr>
        <w:rPr>
          <w:rFonts w:asciiTheme="minorEastAsia" w:hAnsiTheme="minorEastAsia" w:eastAsiaTheme="minorEastAsia"/>
          <w:sz w:val="28"/>
          <w:szCs w:val="28"/>
        </w:rPr>
      </w:pPr>
      <w:r>
        <w:rPr>
          <w:rFonts w:asciiTheme="minorEastAsia" w:hAnsiTheme="minorEastAsia" w:eastAsiaTheme="minorEastAsia"/>
          <w:sz w:val="28"/>
          <w:szCs w:val="28"/>
        </w:rPr>
        <w:t>　　</w:t>
      </w:r>
    </w:p>
    <w:p>
      <w:pPr>
        <w:rPr>
          <w:rFonts w:asciiTheme="minorEastAsia" w:hAnsiTheme="minorEastAsia" w:eastAsiaTheme="minorEastAsia"/>
          <w:sz w:val="28"/>
          <w:szCs w:val="28"/>
        </w:rPr>
        <w:sectPr>
          <w:footerReference r:id="rId7" w:type="first"/>
          <w:footerReference r:id="rId6" w:type="default"/>
          <w:endnotePr>
            <w:numFmt w:val="decimal"/>
          </w:endnotePr>
          <w:pgSz w:w="11906" w:h="16838"/>
          <w:pgMar w:top="1247" w:right="1133" w:bottom="1871" w:left="1418" w:header="851" w:footer="992" w:gutter="0"/>
          <w:pgNumType w:start="1"/>
          <w:cols w:space="720" w:num="1"/>
          <w:docGrid w:type="lines" w:linePitch="312" w:charSpace="0"/>
        </w:sectPr>
      </w:pP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本</w:t>
      </w:r>
      <w:r>
        <w:rPr>
          <w:rFonts w:hint="eastAsia" w:asciiTheme="minorEastAsia" w:hAnsiTheme="minorEastAsia" w:eastAsiaTheme="minorEastAsia"/>
          <w:sz w:val="28"/>
          <w:szCs w:val="28"/>
          <w:lang w:eastAsia="zh-CN"/>
        </w:rPr>
        <w:t>合同</w:t>
      </w:r>
      <w:r>
        <w:rPr>
          <w:rFonts w:asciiTheme="minorEastAsia" w:hAnsiTheme="minorEastAsia" w:eastAsiaTheme="minorEastAsia"/>
          <w:sz w:val="28"/>
          <w:szCs w:val="28"/>
        </w:rPr>
        <w:t>由下列三方签署：</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（1）购电方（电力用户，以下简称</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w:t>
      </w:r>
      <w:r>
        <w:rPr>
          <w:rFonts w:hint="eastAsia" w:asciiTheme="minorEastAsia" w:hAnsiTheme="minorEastAsia" w:eastAsiaTheme="minorEastAsia"/>
          <w:sz w:val="28"/>
          <w:szCs w:val="28"/>
          <w:u w:val="single"/>
          <w:lang w:val="en-US" w:eastAsia="zh-CN"/>
        </w:rPr>
        <w:t>用电</w:t>
      </w:r>
      <w:r>
        <w:rPr>
          <w:rFonts w:asciiTheme="minorEastAsia" w:hAnsiTheme="minorEastAsia" w:eastAsiaTheme="minorEastAsia"/>
          <w:sz w:val="28"/>
          <w:szCs w:val="28"/>
        </w:rPr>
        <w:t>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登记注册，统一社会信用代码（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，住所</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甲方开户名称：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default" w:asciiTheme="minorEastAsia" w:hAnsiTheme="minorEastAsia" w:eastAsiaTheme="minorEastAsia"/>
          <w:sz w:val="28"/>
          <w:szCs w:val="28"/>
          <w:u w:val="none"/>
        </w:rPr>
        <w:t xml:space="preserve"> </w:t>
      </w:r>
      <w:r>
        <w:rPr>
          <w:rFonts w:hint="eastAsia" w:asciiTheme="minorEastAsia" w:hAnsiTheme="minorEastAsia" w:eastAsiaTheme="minorEastAsia"/>
          <w:sz w:val="28"/>
          <w:szCs w:val="28"/>
          <w:u w:val="none"/>
          <w:lang w:eastAsia="zh-CN"/>
        </w:rPr>
        <w:t>。</w:t>
      </w:r>
    </w:p>
    <w:p>
      <w:pPr>
        <w:ind w:firstLine="552"/>
        <w:rPr>
          <w:u w:val="single"/>
        </w:rPr>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eastAsia="zh-CN"/>
        </w:rPr>
        <w:t>。</w:t>
      </w:r>
      <w:r>
        <w:rPr>
          <w:rFonts w:hint="default" w:asciiTheme="minorEastAsia" w:hAnsiTheme="minorEastAsia" w:eastAsiaTheme="minorEastAsia"/>
          <w:sz w:val="28"/>
          <w:szCs w:val="28"/>
          <w:u w:val="none"/>
        </w:rPr>
        <w:t xml:space="preserve">  </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（2）售电方（发电企业，以下简称乙方）：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的电力生产企业，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颁发的本合同所指电厂（机组）发电业务许可证（许可证编号：</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（3）输配电方（电网经营企业，以下简称丙方）：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lang w:val="en-US" w:eastAsia="zh-CN"/>
        </w:rPr>
        <w:t>供电</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rPr>
        <w:t>。</w:t>
      </w:r>
      <w:r>
        <w:rPr>
          <w:rFonts w:asciiTheme="minorEastAsia" w:hAnsiTheme="minorEastAsia" w:eastAsiaTheme="minorEastAsia"/>
          <w:sz w:val="28"/>
          <w:szCs w:val="28"/>
        </w:rPr>
        <w:t>　</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鉴于：</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（1）甲方拥有并经营管理一家</w:t>
      </w:r>
      <w:r>
        <w:rPr>
          <w:rFonts w:hint="default" w:asciiTheme="minorEastAsia" w:hAnsiTheme="minorEastAsia" w:eastAsiaTheme="minorEastAsia"/>
          <w:sz w:val="28"/>
          <w:szCs w:val="28"/>
        </w:rPr>
        <w:t>电压等级</w:t>
      </w:r>
      <w:r>
        <w:rPr>
          <w:rStyle w:val="21"/>
          <w:rFonts w:hint="default" w:asciiTheme="minorEastAsia" w:hAnsiTheme="minorEastAsia" w:eastAsiaTheme="minorEastAsia"/>
          <w:sz w:val="28"/>
          <w:szCs w:val="28"/>
        </w:rPr>
        <w:footnoteReference w:id="0"/>
      </w:r>
      <w:r>
        <w:rPr>
          <w:rFonts w:hint="default" w:asciiTheme="minorEastAsia" w:hAnsiTheme="minorEastAsia" w:eastAsiaTheme="minorEastAsia"/>
          <w:sz w:val="28"/>
          <w:szCs w:val="28"/>
        </w:rPr>
        <w:t>为</w:t>
      </w:r>
      <w:r>
        <w:rPr>
          <w:rFonts w:hint="default" w:asciiTheme="minorEastAsia" w:hAnsiTheme="minorEastAsia" w:eastAsiaTheme="minorEastAsia"/>
          <w:color w:val="auto"/>
          <w:sz w:val="28"/>
          <w:szCs w:val="28"/>
        </w:rPr>
        <w:t>________</w:t>
      </w:r>
      <w:r>
        <w:rPr>
          <w:rFonts w:hint="default" w:asciiTheme="minorEastAsia" w:hAnsiTheme="minorEastAsia" w:eastAsiaTheme="minorEastAsia"/>
          <w:sz w:val="28"/>
          <w:szCs w:val="28"/>
        </w:rPr>
        <w:t>千伏（kV）</w:t>
      </w:r>
      <w:r>
        <w:rPr>
          <w:rFonts w:hint="default" w:asciiTheme="minorEastAsia" w:hAnsiTheme="minorEastAsia" w:eastAsiaTheme="minorEastAsia"/>
          <w:sz w:val="28"/>
          <w:szCs w:val="28"/>
          <w:lang w:val="en-US" w:eastAsia="zh-CN"/>
        </w:rPr>
        <w:t>的</w:t>
      </w:r>
      <w:r>
        <w:rPr>
          <w:rFonts w:asciiTheme="minorEastAsia" w:hAnsiTheme="minorEastAsia" w:eastAsiaTheme="minorEastAsia"/>
          <w:sz w:val="28"/>
          <w:szCs w:val="28"/>
        </w:rPr>
        <w:t>用电企业。</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（2）乙方拥有并经营管理总发电容量为</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兆瓦（MW）的电厂。</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（3）丙方拥有并经营管理</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甲、乙两方拟通过丙方完成</w:t>
      </w:r>
      <w:r>
        <w:rPr>
          <w:rFonts w:hint="eastAsia" w:asciiTheme="minorEastAsia" w:hAnsiTheme="minorEastAsia" w:eastAsiaTheme="minorEastAsia"/>
          <w:sz w:val="28"/>
          <w:szCs w:val="28"/>
          <w:lang w:eastAsia="zh-CN"/>
        </w:rPr>
        <w:t>本</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w:t>
      </w:r>
      <w:r>
        <w:rPr>
          <w:rFonts w:asciiTheme="minorEastAsia" w:hAnsiTheme="minorEastAsia" w:eastAsiaTheme="minorEastAsia"/>
          <w:sz w:val="28"/>
          <w:szCs w:val="28"/>
        </w:rPr>
        <w:t>，三方根据国家有关法律、法规</w:t>
      </w:r>
      <w:r>
        <w:rPr>
          <w:rFonts w:hint="eastAsia" w:asciiTheme="minorEastAsia" w:hAnsiTheme="minorEastAsia" w:eastAsiaTheme="minorEastAsia"/>
          <w:sz w:val="28"/>
          <w:szCs w:val="28"/>
          <w:lang w:eastAsia="zh-CN"/>
        </w:rPr>
        <w:t>及</w:t>
      </w:r>
      <w:r>
        <w:rPr>
          <w:rFonts w:hint="eastAsia" w:asciiTheme="minorEastAsia" w:hAnsiTheme="minorEastAsia" w:eastAsiaTheme="minorEastAsia"/>
          <w:sz w:val="28"/>
          <w:szCs w:val="28"/>
          <w:lang w:val="en-US" w:eastAsia="zh-CN"/>
        </w:rPr>
        <w:t>广西</w:t>
      </w:r>
      <w:r>
        <w:rPr>
          <w:rFonts w:hint="eastAsia" w:asciiTheme="minorEastAsia" w:hAnsiTheme="minorEastAsia" w:eastAsiaTheme="minorEastAsia" w:cstheme="minorEastAsia"/>
          <w:sz w:val="28"/>
          <w:szCs w:val="28"/>
          <w:highlight w:val="none"/>
        </w:rPr>
        <w:t>年度交易实施方案</w:t>
      </w:r>
      <w:r>
        <w:rPr>
          <w:rFonts w:hint="eastAsia" w:asciiTheme="minorEastAsia" w:hAnsiTheme="minorEastAsia" w:eastAsiaTheme="minorEastAsia" w:cstheme="minorEastAsia"/>
          <w:sz w:val="28"/>
          <w:szCs w:val="28"/>
          <w:highlight w:val="none"/>
          <w:lang w:eastAsia="zh-CN"/>
        </w:rPr>
        <w:t>、交易规则</w:t>
      </w:r>
      <w:r>
        <w:rPr>
          <w:rFonts w:asciiTheme="minorEastAsia" w:hAnsiTheme="minorEastAsia" w:eastAsiaTheme="minorEastAsia"/>
          <w:sz w:val="28"/>
          <w:szCs w:val="28"/>
        </w:rPr>
        <w:t>，本着平等、自愿、公平和诚信的原则，经协商一致，签订本合同。</w:t>
      </w:r>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0" w:name="_Toc1240"/>
      <w:bookmarkStart w:id="1" w:name="_Toc17274"/>
      <w:bookmarkStart w:id="2" w:name="_Toc7377"/>
      <w:bookmarkStart w:id="3" w:name="_Toc15026"/>
      <w:bookmarkStart w:id="4" w:name="_Toc24904"/>
      <w:bookmarkStart w:id="5" w:name="_Toc21652"/>
      <w:bookmarkStart w:id="6" w:name="_Toc11455"/>
      <w:bookmarkStart w:id="7" w:name="_Toc17712"/>
      <w:bookmarkStart w:id="8" w:name="_Toc31147"/>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bookmarkEnd w:id="0"/>
      <w:bookmarkEnd w:id="1"/>
      <w:bookmarkEnd w:id="2"/>
      <w:bookmarkEnd w:id="3"/>
      <w:bookmarkEnd w:id="4"/>
      <w:bookmarkEnd w:id="5"/>
      <w:bookmarkEnd w:id="6"/>
      <w:bookmarkEnd w:id="7"/>
      <w:bookmarkEnd w:id="8"/>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1.1定义</w:t>
      </w:r>
    </w:p>
    <w:p>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asciiTheme="minorEastAsia" w:hAnsiTheme="minorEastAsia" w:eastAsiaTheme="minorEastAsia"/>
          <w:sz w:val="28"/>
          <w:szCs w:val="28"/>
        </w:rPr>
      </w:pPr>
      <w:r>
        <w:rPr>
          <w:rFonts w:asciiTheme="minorEastAsia" w:hAnsiTheme="minorEastAsia" w:eastAsiaTheme="minorEastAsia"/>
          <w:sz w:val="28"/>
          <w:szCs w:val="28"/>
        </w:rPr>
        <w:t>　　1.1.1</w:t>
      </w:r>
      <w:r>
        <w:rPr>
          <w:rFonts w:hint="default" w:asciiTheme="minorEastAsia" w:hAnsiTheme="minorEastAsia" w:eastAsiaTheme="minorEastAsia"/>
          <w:sz w:val="28"/>
          <w:szCs w:val="28"/>
          <w:lang w:val="en-US"/>
        </w:rPr>
        <w:t>交易</w:t>
      </w:r>
      <w:r>
        <w:rPr>
          <w:rFonts w:asciiTheme="minorEastAsia" w:hAnsiTheme="minorEastAsia" w:eastAsiaTheme="minorEastAsia"/>
          <w:sz w:val="28"/>
          <w:szCs w:val="28"/>
        </w:rPr>
        <w:t>电量：</w:t>
      </w:r>
      <w:r>
        <w:rPr>
          <w:rFonts w:hint="eastAsia" w:asciiTheme="minorEastAsia" w:hAnsiTheme="minorEastAsia" w:eastAsiaTheme="minorEastAsia"/>
          <w:sz w:val="28"/>
          <w:szCs w:val="28"/>
          <w:lang w:eastAsia="zh-CN"/>
        </w:rPr>
        <w:t>可称为合同电量，指甲、乙两方在本合同中所签订，经电力交易中心交易校核、电力调度机构安全校核、电力交易中心发布确定的最终成交电量，电力交易中心以此作为甲、乙两方开展电力市场交易的依据。</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1.1.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计量点：指经合同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方确认的本合同中计量</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电量的电能计量装置关口表安装位置。</w:t>
      </w:r>
      <w:r>
        <w:rPr>
          <w:rFonts w:hint="eastAsia" w:asciiTheme="minorEastAsia" w:hAnsiTheme="minorEastAsia" w:eastAsiaTheme="minorEastAsia"/>
          <w:sz w:val="28"/>
          <w:szCs w:val="28"/>
        </w:rPr>
        <w:t>本合同涉及</w:t>
      </w:r>
      <w:r>
        <w:rPr>
          <w:rFonts w:hint="eastAsia" w:asciiTheme="minorEastAsia" w:hAnsiTheme="minorEastAsia" w:eastAsiaTheme="minorEastAsia"/>
          <w:sz w:val="28"/>
          <w:szCs w:val="28"/>
          <w:lang w:eastAsia="zh-CN"/>
        </w:rPr>
        <w:t>的用户侧计量点</w:t>
      </w:r>
      <w:r>
        <w:rPr>
          <w:rFonts w:hint="eastAsia" w:asciiTheme="minorEastAsia" w:hAnsiTheme="minorEastAsia" w:eastAsiaTheme="minorEastAsia"/>
          <w:sz w:val="28"/>
          <w:szCs w:val="28"/>
        </w:rPr>
        <w:t>以《供用电合同》约定为准</w:t>
      </w:r>
      <w:r>
        <w:rPr>
          <w:rFonts w:hint="eastAsia" w:asciiTheme="minorEastAsia" w:hAnsiTheme="minorEastAsia" w:eastAsiaTheme="minorEastAsia"/>
          <w:sz w:val="28"/>
          <w:szCs w:val="28"/>
          <w:lang w:eastAsia="zh-CN"/>
        </w:rPr>
        <w:t>、发电侧计量点以</w:t>
      </w:r>
      <w:r>
        <w:rPr>
          <w:rFonts w:hint="eastAsia" w:asciiTheme="minorEastAsia" w:hAnsiTheme="minorEastAsia" w:eastAsiaTheme="minorEastAsia"/>
          <w:sz w:val="28"/>
          <w:szCs w:val="28"/>
        </w:rPr>
        <w:t>《购售电合同》约定为准。</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w:t>
      </w:r>
      <w:r>
        <w:rPr>
          <w:rFonts w:hint="eastAsia" w:asciiTheme="minorEastAsia" w:hAnsiTheme="minorEastAsia" w:eastAsiaTheme="minorEastAsia"/>
          <w:sz w:val="28"/>
          <w:szCs w:val="28"/>
        </w:rPr>
        <w:t>政府</w:t>
      </w:r>
      <w:r>
        <w:rPr>
          <w:rFonts w:hint="eastAsia" w:asciiTheme="minorEastAsia" w:hAnsiTheme="minorEastAsia" w:eastAsiaTheme="minorEastAsia"/>
          <w:sz w:val="28"/>
          <w:szCs w:val="28"/>
          <w:lang w:eastAsia="zh-CN"/>
        </w:rPr>
        <w:t>主管</w:t>
      </w:r>
      <w:r>
        <w:rPr>
          <w:rFonts w:hint="eastAsia" w:asciiTheme="minorEastAsia" w:hAnsiTheme="minorEastAsia" w:eastAsiaTheme="minorEastAsia"/>
          <w:sz w:val="28"/>
          <w:szCs w:val="28"/>
        </w:rPr>
        <w:t>部门或能源监管机构</w:t>
      </w:r>
      <w:r>
        <w:rPr>
          <w:rFonts w:asciiTheme="minorEastAsia" w:hAnsiTheme="minorEastAsia" w:eastAsiaTheme="minorEastAsia"/>
          <w:sz w:val="28"/>
          <w:szCs w:val="28"/>
        </w:rPr>
        <w:t>确认。</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1.1.4工作日：指除星期六、星期日及法定节假日以外的公历日。</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1.1.5不可抗力：指不能预见、不能避免并不能克服的客观情况。包括：火山爆发、龙卷风、海啸、暴风雨、泥石流、山体滑坡、水灾、火灾、超设计标准的地震、台风、雷电、雾闪等，</w:t>
      </w:r>
      <w:r>
        <w:rPr>
          <w:rFonts w:hint="eastAsia" w:asciiTheme="minorEastAsia" w:hAnsiTheme="minorEastAsia" w:eastAsiaTheme="minorEastAsia"/>
          <w:sz w:val="28"/>
          <w:szCs w:val="28"/>
          <w:lang w:val="en-US" w:eastAsia="zh-CN"/>
        </w:rPr>
        <w:t>电力市场技术支持相关系统发生重大故障、</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default" w:asciiTheme="minorEastAsia" w:hAnsiTheme="minorEastAsia" w:eastAsiaTheme="minorEastAsia"/>
          <w:sz w:val="28"/>
          <w:szCs w:val="28"/>
        </w:rPr>
      </w:pPr>
      <w:r>
        <w:rPr>
          <w:rFonts w:hint="eastAsia" w:asciiTheme="minorEastAsia" w:hAnsiTheme="minorEastAsia" w:eastAsiaTheme="minorEastAsia"/>
          <w:sz w:val="28"/>
          <w:szCs w:val="28"/>
        </w:rPr>
        <w:t>1.1.</w:t>
      </w:r>
      <w:r>
        <w:rPr>
          <w:rFonts w:asciiTheme="minorEastAsia" w:hAnsiTheme="minorEastAsia" w:eastAsiaTheme="minorEastAsia"/>
          <w:sz w:val="28"/>
          <w:szCs w:val="28"/>
        </w:rPr>
        <w:t>6</w:t>
      </w:r>
      <w:r>
        <w:rPr>
          <w:rFonts w:hint="eastAsia" w:cs="仿宋_GB2312" w:asciiTheme="minorEastAsia" w:hAnsiTheme="minorEastAsia" w:eastAsiaTheme="minorEastAsia"/>
          <w:sz w:val="28"/>
          <w:szCs w:val="28"/>
        </w:rPr>
        <w:t>交易价格</w:t>
      </w:r>
      <w:r>
        <w:rPr>
          <w:rFonts w:hint="eastAsia" w:cs="仿宋_GB2312" w:asciiTheme="minorEastAsia" w:hAnsiTheme="minorEastAsia" w:eastAsiaTheme="minorEastAsia"/>
          <w:sz w:val="28"/>
          <w:szCs w:val="28"/>
          <w:lang w:eastAsia="zh-CN"/>
        </w:rPr>
        <w:t>：</w:t>
      </w:r>
      <w:r>
        <w:rPr>
          <w:rFonts w:hint="default" w:asciiTheme="minorEastAsia" w:hAnsiTheme="minorEastAsia" w:eastAsiaTheme="minorEastAsia"/>
          <w:sz w:val="28"/>
          <w:szCs w:val="28"/>
        </w:rPr>
        <w:t>按照交易规则，甲乙两方自愿达成的</w:t>
      </w:r>
      <w:r>
        <w:rPr>
          <w:rFonts w:hint="eastAsia" w:asciiTheme="minorEastAsia" w:hAnsiTheme="minorEastAsia" w:eastAsiaTheme="minorEastAsia"/>
          <w:sz w:val="28"/>
          <w:szCs w:val="28"/>
          <w:lang w:eastAsia="zh-CN"/>
        </w:rPr>
        <w:t>成交价格。</w:t>
      </w:r>
    </w:p>
    <w:p>
      <w:pPr>
        <w:keepNext w:val="0"/>
        <w:keepLines w:val="0"/>
        <w:pageBreakBefore w:val="0"/>
        <w:kinsoku/>
        <w:wordWrap/>
        <w:overflowPunct/>
        <w:topLinePunct w:val="0"/>
        <w:autoSpaceDE/>
        <w:autoSpaceDN/>
        <w:bidi w:val="0"/>
        <w:adjustRightInd/>
        <w:snapToGrid/>
        <w:spacing w:line="240" w:lineRule="auto"/>
        <w:ind w:firstLine="560" w:firstLineChars="0"/>
        <w:textAlignment w:val="auto"/>
        <w:rPr>
          <w:rFonts w:hint="eastAsia" w:cs="仿宋_GB2312"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1.1.7</w:t>
      </w:r>
      <w:r>
        <w:rPr>
          <w:rFonts w:hint="eastAsia" w:cs="仿宋_GB2312" w:asciiTheme="minorEastAsia" w:hAnsiTheme="minorEastAsia" w:eastAsiaTheme="minorEastAsia"/>
          <w:sz w:val="28"/>
          <w:szCs w:val="28"/>
        </w:rPr>
        <w:t>落地交易价格</w:t>
      </w:r>
      <w:r>
        <w:rPr>
          <w:rFonts w:hint="eastAsia" w:cs="仿宋_GB2312" w:asciiTheme="minorEastAsia" w:hAnsiTheme="minorEastAsia" w:eastAsiaTheme="minorEastAsia"/>
          <w:sz w:val="28"/>
          <w:szCs w:val="28"/>
          <w:lang w:val="en-US" w:eastAsia="zh-CN"/>
        </w:rPr>
        <w:t>：</w:t>
      </w:r>
      <w:r>
        <w:rPr>
          <w:rFonts w:hint="eastAsia" w:cs="仿宋_GB2312" w:asciiTheme="minorEastAsia" w:hAnsiTheme="minorEastAsia" w:eastAsiaTheme="minorEastAsia"/>
          <w:sz w:val="28"/>
          <w:szCs w:val="28"/>
        </w:rPr>
        <w:t>指在外省电厂通过外省电网、超高压公司送电到广西的落地电价基础上开展交易的价格。</w:t>
      </w:r>
    </w:p>
    <w:p>
      <w:pPr>
        <w:keepNext w:val="0"/>
        <w:keepLines w:val="0"/>
        <w:pageBreakBefore w:val="0"/>
        <w:kinsoku/>
        <w:wordWrap/>
        <w:overflowPunct/>
        <w:topLinePunct w:val="0"/>
        <w:autoSpaceDE/>
        <w:autoSpaceDN/>
        <w:bidi w:val="0"/>
        <w:snapToGrid/>
        <w:spacing w:beforeLines="-2147483648" w:afterLines="-2147483648" w:line="240" w:lineRule="auto"/>
        <w:ind w:firstLine="560" w:firstLineChars="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1.1.8电力交易中心：本合同特指广西电力交易中心有限责任公司。</w:t>
      </w:r>
    </w:p>
    <w:p>
      <w:pPr>
        <w:keepNext w:val="0"/>
        <w:keepLines w:val="0"/>
        <w:pageBreakBefore w:val="0"/>
        <w:kinsoku/>
        <w:wordWrap/>
        <w:overflowPunct/>
        <w:topLinePunct w:val="0"/>
        <w:autoSpaceDE/>
        <w:autoSpaceDN/>
        <w:bidi w:val="0"/>
        <w:adjustRightInd/>
        <w:snapToGrid/>
        <w:spacing w:line="240" w:lineRule="auto"/>
        <w:ind w:firstLine="560" w:firstLineChars="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1.1.9电力调度机构：本合同特指广西电网有限责任公司电力调度控制中心。</w:t>
      </w:r>
    </w:p>
    <w:p>
      <w:pPr>
        <w:pStyle w:val="2"/>
        <w:rPr>
          <w:rFonts w:hint="default"/>
          <w:lang w:val="en-US"/>
        </w:rPr>
      </w:pPr>
      <w:r>
        <w:rPr>
          <w:rFonts w:hint="eastAsia" w:cs="Times New Roman" w:asciiTheme="minorEastAsia" w:hAnsiTheme="minorEastAsia" w:eastAsiaTheme="minorEastAsia"/>
          <w:sz w:val="28"/>
          <w:szCs w:val="28"/>
          <w:lang w:val="en-US" w:eastAsia="zh-CN"/>
        </w:rPr>
        <w:t>1.1.10</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rPr>
        <w:t>说明</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1.2.2本合同</w:t>
      </w:r>
      <w:r>
        <w:rPr>
          <w:rFonts w:hint="eastAsia" w:asciiTheme="minorEastAsia" w:hAnsiTheme="minorEastAsia" w:eastAsiaTheme="minorEastAsia"/>
          <w:sz w:val="28"/>
          <w:szCs w:val="28"/>
          <w:lang w:val="en-US" w:eastAsia="zh-CN"/>
        </w:rPr>
        <w:t>附录</w:t>
      </w:r>
      <w:r>
        <w:rPr>
          <w:rFonts w:asciiTheme="minorEastAsia" w:hAnsiTheme="minorEastAsia" w:eastAsiaTheme="minorEastAsia"/>
          <w:sz w:val="28"/>
          <w:szCs w:val="28"/>
        </w:rPr>
        <w:t>与正文具有同等的法律效力。</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1.2.3本合同对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eastAsiaTheme="minorEastAsia"/>
          <w:sz w:val="28"/>
          <w:szCs w:val="28"/>
          <w:lang w:eastAsia="zh-CN"/>
        </w:rPr>
        <w:t>国家及</w:t>
      </w:r>
      <w:r>
        <w:rPr>
          <w:rFonts w:hint="eastAsia" w:asciiTheme="minorEastAsia" w:hAnsiTheme="minorEastAsia" w:eastAsiaTheme="minorEastAsia"/>
          <w:sz w:val="28"/>
          <w:szCs w:val="28"/>
          <w:lang w:val="en-US" w:eastAsia="zh-CN"/>
        </w:rPr>
        <w:t>广西电力市场有关政策、交易规则以及政策制度文件另有规定或本合同</w:t>
      </w:r>
      <w:r>
        <w:rPr>
          <w:rFonts w:asciiTheme="minorEastAsia" w:hAnsiTheme="minorEastAsia" w:eastAsiaTheme="minorEastAsia"/>
          <w:sz w:val="28"/>
          <w:szCs w:val="28"/>
        </w:rPr>
        <w:t>当事人另有约定的除外。</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1.2.4除上下文另有要求外，本合同所指的日、月、年均为公历日、月、年。</w:t>
      </w:r>
    </w:p>
    <w:p>
      <w:pPr>
        <w:autoSpaceDE w:val="0"/>
        <w:autoSpaceDN w:val="0"/>
        <w:adjustRightInd w:val="0"/>
        <w:snapToGrid w:val="0"/>
        <w:spacing w:line="580" w:lineRule="exact"/>
        <w:ind w:firstLine="641"/>
        <w:rPr>
          <w:rFonts w:hint="default" w:cs="Times New Roman" w:asciiTheme="minorEastAsia" w:hAnsiTheme="minorEastAsia" w:eastAsiaTheme="minorEastAsia"/>
          <w:kern w:val="2"/>
          <w:sz w:val="28"/>
          <w:szCs w:val="28"/>
          <w:highlight w:val="none"/>
        </w:rPr>
      </w:pPr>
      <w:r>
        <w:rPr>
          <w:rFonts w:hint="default" w:asciiTheme="minorEastAsia" w:hAnsiTheme="minorEastAsia" w:eastAsiaTheme="minorEastAsia"/>
          <w:sz w:val="28"/>
          <w:szCs w:val="28"/>
          <w:lang w:val="en-US" w:eastAsia="zh-CN"/>
        </w:rPr>
        <w:t>1.2.5</w:t>
      </w:r>
      <w:r>
        <w:rPr>
          <w:rFonts w:hint="default" w:cs="Times New Roman" w:asciiTheme="minorEastAsia" w:hAnsiTheme="minorEastAsia" w:eastAsiaTheme="minorEastAsia"/>
          <w:kern w:val="2"/>
          <w:sz w:val="28"/>
          <w:szCs w:val="28"/>
          <w:highlight w:val="none"/>
        </w:rPr>
        <w:t>签订本合同的主要目的是保障中长期电力交易规范有序开展，维护交易各方的合法权益，保证市场化交易顺利实施。合同各方应注意所签订的《供用电合同》《并网调度协议》《购售电合同》等相关合同约定的一致性。</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default"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lang w:val="en-US" w:eastAsia="zh-CN"/>
        </w:rPr>
        <w:t>6</w:t>
      </w:r>
      <w:r>
        <w:rPr>
          <w:rFonts w:hint="default" w:asciiTheme="minorEastAsia" w:hAnsiTheme="minorEastAsia" w:eastAsiaTheme="minorEastAsia"/>
          <w:sz w:val="28"/>
          <w:szCs w:val="28"/>
          <w:lang w:val="en-US" w:eastAsia="zh-CN"/>
        </w:rPr>
        <w:t>对于本文本中所涉及的相关条款约定技术条件，如</w:t>
      </w:r>
      <w:r>
        <w:rPr>
          <w:rFonts w:hint="eastAsia" w:asciiTheme="minorEastAsia" w:hAnsiTheme="minorEastAsia" w:eastAsiaTheme="minorEastAsia"/>
          <w:sz w:val="28"/>
          <w:szCs w:val="28"/>
          <w:lang w:val="en-US" w:eastAsia="zh-CN"/>
        </w:rPr>
        <w:t>国家、国务院、</w:t>
      </w:r>
      <w:r>
        <w:rPr>
          <w:rFonts w:hint="default" w:asciiTheme="minorEastAsia" w:hAnsiTheme="minorEastAsia" w:eastAsiaTheme="minorEastAsia"/>
          <w:sz w:val="28"/>
          <w:szCs w:val="28"/>
          <w:lang w:val="en-US" w:eastAsia="zh-CN"/>
        </w:rPr>
        <w:t>政府主管部门或能源监管机构颁布新的法律、法规、规章及其他规范性文件，合同各方应遵从其规定。</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1.2.</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合同中的“包括”一词指：包括但不限于。</w:t>
      </w:r>
    </w:p>
    <w:p>
      <w:pPr>
        <w:pStyle w:val="7"/>
        <w:keepNext w:val="0"/>
        <w:keepLines w:val="0"/>
        <w:pageBreakBefore w:val="0"/>
        <w:kinsoku/>
        <w:wordWrap/>
        <w:overflowPunct/>
        <w:topLinePunct w:val="0"/>
        <w:autoSpaceDE/>
        <w:autoSpaceDN/>
        <w:bidi w:val="0"/>
        <w:spacing w:line="240" w:lineRule="auto"/>
        <w:ind w:firstLine="3064" w:firstLineChars="1090"/>
        <w:jc w:val="both"/>
        <w:textAlignment w:val="auto"/>
        <w:rPr>
          <w:rFonts w:asciiTheme="minorEastAsia" w:hAnsiTheme="minorEastAsia" w:eastAsiaTheme="minorEastAsia"/>
          <w:sz w:val="28"/>
          <w:szCs w:val="28"/>
        </w:rPr>
      </w:pPr>
      <w:bookmarkStart w:id="9" w:name="_Toc32670"/>
      <w:bookmarkStart w:id="10" w:name="_Toc26224"/>
      <w:bookmarkStart w:id="11" w:name="_Toc23832"/>
      <w:bookmarkStart w:id="12" w:name="_Toc8885"/>
      <w:bookmarkStart w:id="13" w:name="_Toc7135"/>
      <w:bookmarkStart w:id="14" w:name="_Toc27987"/>
      <w:bookmarkStart w:id="15" w:name="_Toc12799"/>
      <w:bookmarkStart w:id="16" w:name="_Toc26164"/>
      <w:bookmarkStart w:id="17" w:name="_Toc12808"/>
      <w:r>
        <w:rPr>
          <w:rFonts w:asciiTheme="minorEastAsia" w:hAnsiTheme="minorEastAsia" w:eastAsiaTheme="minorEastAsia"/>
          <w:sz w:val="28"/>
          <w:szCs w:val="28"/>
        </w:rPr>
        <w:t>第2章　三方</w:t>
      </w:r>
      <w:r>
        <w:rPr>
          <w:rFonts w:hint="eastAsia" w:asciiTheme="minorEastAsia" w:hAnsiTheme="minorEastAsia" w:eastAsiaTheme="minorEastAsia"/>
          <w:sz w:val="28"/>
          <w:szCs w:val="28"/>
        </w:rPr>
        <w:t>陈述</w:t>
      </w:r>
      <w:bookmarkEnd w:id="9"/>
      <w:bookmarkEnd w:id="10"/>
      <w:bookmarkEnd w:id="11"/>
      <w:bookmarkEnd w:id="12"/>
      <w:bookmarkEnd w:id="13"/>
      <w:bookmarkEnd w:id="14"/>
      <w:bookmarkEnd w:id="15"/>
      <w:bookmarkEnd w:id="16"/>
      <w:bookmarkEnd w:id="17"/>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2.1甲、乙、丙三方</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（以下简称为“本方”）</w:t>
      </w:r>
      <w:r>
        <w:rPr>
          <w:rFonts w:asciiTheme="minorEastAsia" w:hAnsiTheme="minorEastAsia" w:eastAsiaTheme="minorEastAsia"/>
          <w:sz w:val="28"/>
          <w:szCs w:val="28"/>
        </w:rPr>
        <w:t>在此向其</w:t>
      </w:r>
      <w:r>
        <w:rPr>
          <w:rFonts w:hint="eastAsia" w:asciiTheme="minorEastAsia" w:hAnsiTheme="minorEastAsia" w:eastAsiaTheme="minorEastAsia"/>
          <w:sz w:val="28"/>
          <w:szCs w:val="28"/>
          <w:lang w:val="en-US" w:eastAsia="zh-CN"/>
        </w:rPr>
        <w:t>他</w:t>
      </w:r>
      <w:r>
        <w:rPr>
          <w:rFonts w:asciiTheme="minorEastAsia" w:hAnsiTheme="minorEastAsia" w:eastAsiaTheme="minorEastAsia"/>
          <w:sz w:val="28"/>
          <w:szCs w:val="28"/>
        </w:rPr>
        <w:t>方</w:t>
      </w:r>
      <w:r>
        <w:rPr>
          <w:rFonts w:hint="eastAsia" w:asciiTheme="minorEastAsia" w:hAnsiTheme="minorEastAsia" w:eastAsiaTheme="minorEastAsia"/>
          <w:sz w:val="28"/>
          <w:szCs w:val="28"/>
        </w:rPr>
        <w:t>陈述如下</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2.1.1本方为</w:t>
      </w:r>
      <w:r>
        <w:rPr>
          <w:rFonts w:hint="eastAsia" w:asciiTheme="minorEastAsia" w:hAnsiTheme="minorEastAsia" w:eastAsiaTheme="minorEastAsia"/>
          <w:sz w:val="28"/>
          <w:szCs w:val="28"/>
          <w:lang w:val="en-US" w:eastAsia="zh-CN"/>
        </w:rPr>
        <w:t>一家</w:t>
      </w:r>
      <w:r>
        <w:rPr>
          <w:rFonts w:asciiTheme="minorEastAsia" w:hAnsiTheme="minorEastAsia" w:eastAsiaTheme="minorEastAsia"/>
          <w:sz w:val="28"/>
          <w:szCs w:val="28"/>
        </w:rPr>
        <w:t>依法设立并合法存续的企业，有权签署并有能力履行本合同。</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2.1.2本方签署和履行本合同所需的一切手续（包括办理必要的</w:t>
      </w:r>
      <w:r>
        <w:rPr>
          <w:rFonts w:hint="eastAsia" w:asciiTheme="minorEastAsia" w:hAnsiTheme="minorEastAsia" w:eastAsiaTheme="minorEastAsia"/>
          <w:sz w:val="28"/>
          <w:szCs w:val="28"/>
        </w:rPr>
        <w:t>行政许可、取得市场准入条件</w:t>
      </w:r>
      <w:r>
        <w:rPr>
          <w:rFonts w:asciiTheme="minorEastAsia" w:hAnsiTheme="minorEastAsia" w:eastAsiaTheme="minorEastAsia"/>
          <w:sz w:val="28"/>
          <w:szCs w:val="28"/>
        </w:rPr>
        <w:t>和营业执照等）均已办妥并合法有效。</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2.1.3在签署本合同时，任何法院、仲裁机构</w:t>
      </w:r>
      <w:r>
        <w:rPr>
          <w:rFonts w:hint="eastAsia" w:asciiTheme="minorEastAsia" w:hAnsiTheme="minorEastAsia" w:eastAsiaTheme="minorEastAsia"/>
          <w:sz w:val="28"/>
          <w:szCs w:val="28"/>
        </w:rPr>
        <w:t>、行政机关或监管机构</w:t>
      </w:r>
      <w:r>
        <w:rPr>
          <w:rFonts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行政处罚</w:t>
      </w:r>
      <w:r>
        <w:rPr>
          <w:rFonts w:asciiTheme="minorEastAsia" w:hAnsiTheme="minorEastAsia" w:eastAsiaTheme="minorEastAsia"/>
          <w:sz w:val="28"/>
          <w:szCs w:val="28"/>
        </w:rPr>
        <w:t>或</w:t>
      </w:r>
      <w:r>
        <w:rPr>
          <w:rFonts w:hint="eastAsia" w:asciiTheme="minorEastAsia" w:hAnsiTheme="minorEastAsia" w:eastAsiaTheme="minorEastAsia"/>
          <w:sz w:val="28"/>
          <w:szCs w:val="28"/>
          <w:lang w:val="en-US" w:eastAsia="zh-CN"/>
        </w:rPr>
        <w:t>相关</w:t>
      </w:r>
      <w:r>
        <w:rPr>
          <w:rFonts w:hint="eastAsia" w:asciiTheme="minorEastAsia" w:hAnsiTheme="minorEastAsia" w:eastAsiaTheme="minorEastAsia"/>
          <w:sz w:val="28"/>
          <w:szCs w:val="28"/>
        </w:rPr>
        <w:t>具体行政</w:t>
      </w:r>
      <w:r>
        <w:rPr>
          <w:rFonts w:asciiTheme="minorEastAsia" w:hAnsiTheme="minorEastAsia" w:eastAsiaTheme="minorEastAsia"/>
          <w:sz w:val="28"/>
          <w:szCs w:val="28"/>
        </w:rPr>
        <w:t>行为。</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2.2本方为签署本合同所需的内部授权程序均已完成，本合同</w:t>
      </w:r>
      <w:r>
        <w:rPr>
          <w:rFonts w:hint="eastAsia" w:asciiTheme="minorEastAsia" w:hAnsiTheme="minorEastAsia" w:eastAsiaTheme="minorEastAsia"/>
          <w:sz w:val="28"/>
          <w:szCs w:val="28"/>
        </w:rPr>
        <w:t>由</w:t>
      </w:r>
      <w:r>
        <w:rPr>
          <w:rFonts w:asciiTheme="minorEastAsia" w:hAnsiTheme="minorEastAsia" w:eastAsiaTheme="minorEastAsia"/>
          <w:sz w:val="28"/>
          <w:szCs w:val="28"/>
        </w:rPr>
        <w:t>本方法定代表人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asciiTheme="minorEastAsia" w:hAnsiTheme="minorEastAsia" w:eastAsiaTheme="minorEastAsia"/>
          <w:sz w:val="28"/>
          <w:szCs w:val="28"/>
        </w:rPr>
        <w:t>或授权代理人</w:t>
      </w:r>
      <w:r>
        <w:rPr>
          <w:rFonts w:hint="eastAsia" w:asciiTheme="minorEastAsia" w:hAnsiTheme="minorEastAsia" w:eastAsiaTheme="minorEastAsia"/>
          <w:sz w:val="28"/>
          <w:szCs w:val="28"/>
        </w:rPr>
        <w:t>签署</w:t>
      </w:r>
      <w:r>
        <w:rPr>
          <w:rFonts w:asciiTheme="minorEastAsia" w:hAnsiTheme="minorEastAsia" w:eastAsiaTheme="minorEastAsia"/>
          <w:sz w:val="28"/>
          <w:szCs w:val="28"/>
        </w:rPr>
        <w:t>，并且本合同生效后即对</w:t>
      </w:r>
      <w:r>
        <w:rPr>
          <w:rFonts w:hint="eastAsia" w:asciiTheme="minorEastAsia" w:hAnsiTheme="minorEastAsia" w:eastAsiaTheme="minorEastAsia"/>
          <w:sz w:val="28"/>
          <w:szCs w:val="28"/>
          <w:lang w:eastAsia="zh-CN"/>
        </w:rPr>
        <w:t>合同各方</w:t>
      </w:r>
      <w:r>
        <w:rPr>
          <w:rFonts w:asciiTheme="minorEastAsia" w:hAnsiTheme="minorEastAsia" w:eastAsiaTheme="minorEastAsia"/>
          <w:sz w:val="28"/>
          <w:szCs w:val="28"/>
        </w:rPr>
        <w:t>具有法律约束力。</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如国家法律、法规发生变化或者政府有关部门、监管机构出台有关规定、规则，合同三方同意按照</w:t>
      </w:r>
      <w:r>
        <w:rPr>
          <w:rFonts w:hint="eastAsia" w:asciiTheme="minorEastAsia" w:hAnsiTheme="minorEastAsia" w:eastAsiaTheme="minorEastAsia"/>
          <w:sz w:val="28"/>
          <w:szCs w:val="28"/>
          <w:lang w:eastAsia="zh-CN"/>
        </w:rPr>
        <w:t>最新</w:t>
      </w:r>
      <w:r>
        <w:rPr>
          <w:rFonts w:asciiTheme="minorEastAsia" w:hAnsiTheme="minorEastAsia" w:eastAsiaTheme="minorEastAsia"/>
          <w:sz w:val="28"/>
          <w:szCs w:val="28"/>
        </w:rPr>
        <w:t>法律、法规、规定和规则予以调整和修改。</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val="en-US" w:eastAsia="zh-CN"/>
        </w:rPr>
        <w:t>4各</w:t>
      </w:r>
      <w:r>
        <w:rPr>
          <w:rFonts w:hint="eastAsia" w:asciiTheme="minorEastAsia" w:hAnsiTheme="minorEastAsia" w:eastAsiaTheme="minorEastAsia"/>
          <w:sz w:val="28"/>
          <w:szCs w:val="28"/>
        </w:rPr>
        <w:t>方承诺，本合同条款中涉及的如下合同已经签订：甲方与丙方的《供用电合同》，乙方与丙方的《购售电合同》、《并网调度协议》。</w:t>
      </w:r>
    </w:p>
    <w:p>
      <w:pPr>
        <w:pStyle w:val="7"/>
        <w:keepNext w:val="0"/>
        <w:keepLines w:val="0"/>
        <w:pageBreakBefore w:val="0"/>
        <w:kinsoku/>
        <w:wordWrap/>
        <w:overflowPunct/>
        <w:topLinePunct w:val="0"/>
        <w:autoSpaceDE/>
        <w:autoSpaceDN/>
        <w:bidi w:val="0"/>
        <w:spacing w:line="240" w:lineRule="auto"/>
        <w:ind w:firstLine="2502" w:firstLineChars="890"/>
        <w:jc w:val="both"/>
        <w:textAlignment w:val="auto"/>
        <w:rPr>
          <w:rFonts w:asciiTheme="minorEastAsia" w:hAnsiTheme="minorEastAsia" w:eastAsiaTheme="minorEastAsia"/>
          <w:sz w:val="28"/>
          <w:szCs w:val="28"/>
        </w:rPr>
      </w:pPr>
      <w:bookmarkStart w:id="18" w:name="_Toc6578"/>
      <w:bookmarkStart w:id="19" w:name="_Toc10415"/>
      <w:bookmarkStart w:id="20" w:name="_Toc7915"/>
      <w:bookmarkStart w:id="21" w:name="_Toc15406"/>
      <w:bookmarkStart w:id="22" w:name="_Toc16719"/>
      <w:bookmarkStart w:id="23" w:name="_Toc27801"/>
      <w:bookmarkStart w:id="24" w:name="_Toc24196"/>
      <w:bookmarkStart w:id="25" w:name="_Toc32161"/>
      <w:bookmarkStart w:id="26" w:name="_Toc17636"/>
      <w:r>
        <w:rPr>
          <w:rFonts w:asciiTheme="minorEastAsia" w:hAnsiTheme="minorEastAsia" w:eastAsiaTheme="minorEastAsia"/>
          <w:sz w:val="28"/>
          <w:szCs w:val="28"/>
        </w:rPr>
        <w:t>第3章　三方的权利和义务</w:t>
      </w:r>
      <w:bookmarkEnd w:id="18"/>
      <w:bookmarkEnd w:id="19"/>
      <w:bookmarkEnd w:id="20"/>
      <w:bookmarkEnd w:id="21"/>
      <w:bookmarkEnd w:id="22"/>
      <w:bookmarkEnd w:id="23"/>
      <w:bookmarkEnd w:id="24"/>
      <w:bookmarkEnd w:id="25"/>
      <w:bookmarkEnd w:id="26"/>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3.1甲方的权利包括：</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3.1.1按照本合同购买乙方提供的电量。</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3.1.2根据已与丙方签订的《供用电合同》，按照国家有关法规</w:t>
      </w:r>
      <w:r>
        <w:rPr>
          <w:rFonts w:hint="eastAsia" w:asciiTheme="minorEastAsia" w:hAnsiTheme="minorEastAsia" w:eastAsiaTheme="minorEastAsia"/>
          <w:sz w:val="28"/>
          <w:szCs w:val="28"/>
          <w:lang w:eastAsia="zh-CN"/>
        </w:rPr>
        <w:t>获得</w:t>
      </w:r>
      <w:r>
        <w:rPr>
          <w:rFonts w:asciiTheme="minorEastAsia" w:hAnsiTheme="minorEastAsia" w:eastAsiaTheme="minorEastAsia"/>
          <w:sz w:val="28"/>
          <w:szCs w:val="28"/>
        </w:rPr>
        <w:t>丙方提供的有关</w:t>
      </w:r>
      <w:r>
        <w:rPr>
          <w:rFonts w:hint="eastAsia" w:asciiTheme="minorEastAsia" w:hAnsiTheme="minorEastAsia" w:eastAsiaTheme="minorEastAsia"/>
          <w:sz w:val="28"/>
          <w:szCs w:val="28"/>
        </w:rPr>
        <w:t>输配电</w:t>
      </w:r>
      <w:r>
        <w:rPr>
          <w:rFonts w:asciiTheme="minorEastAsia" w:hAnsiTheme="minorEastAsia" w:eastAsiaTheme="minorEastAsia"/>
          <w:sz w:val="28"/>
          <w:szCs w:val="28"/>
        </w:rPr>
        <w:t>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3.1.3</w:t>
      </w:r>
      <w:r>
        <w:rPr>
          <w:rFonts w:hint="eastAsia" w:asciiTheme="minorEastAsia" w:hAnsiTheme="minorEastAsia" w:eastAsiaTheme="minorEastAsia"/>
          <w:sz w:val="28"/>
          <w:szCs w:val="28"/>
        </w:rPr>
        <w:t>与乙方、丙方协商制订与履行本合同有关的生产计划和设备检修计划</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3.1.4获得乙方、丙方履行本合同义务相关的信息、资料及查阅关口计量数据。</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3.2甲方的义务包括：</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3.2.1按照国家有关法规、规定和技术规范，运行、维护有关用电设施，合理控制用电系统电能质量。</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3.2.2</w:t>
      </w:r>
      <w:r>
        <w:rPr>
          <w:rFonts w:hint="eastAsia" w:asciiTheme="minorEastAsia" w:hAnsiTheme="minorEastAsia" w:eastAsiaTheme="minorEastAsia"/>
          <w:sz w:val="28"/>
          <w:szCs w:val="28"/>
        </w:rPr>
        <w:t>按照国家有关法律、规定和技术规范参与电力市场交易</w:t>
      </w:r>
      <w:r>
        <w:rPr>
          <w:rFonts w:hint="eastAsia" w:asciiTheme="minorEastAsia" w:hAnsiTheme="minorEastAsia" w:eastAsiaTheme="minorEastAsia"/>
          <w:sz w:val="28"/>
          <w:szCs w:val="28"/>
          <w:lang w:val="en-US" w:eastAsia="zh-CN"/>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及时向</w:t>
      </w:r>
      <w:r>
        <w:rPr>
          <w:rFonts w:hint="eastAsia" w:asciiTheme="minorEastAsia" w:hAnsiTheme="minorEastAsia" w:eastAsiaTheme="minorEastAsia"/>
          <w:sz w:val="28"/>
          <w:szCs w:val="28"/>
          <w:lang w:val="en-US" w:eastAsia="zh-CN"/>
        </w:rPr>
        <w:t>乙方、</w:t>
      </w:r>
      <w:r>
        <w:rPr>
          <w:rFonts w:asciiTheme="minorEastAsia" w:hAnsiTheme="minorEastAsia" w:eastAsiaTheme="minorEastAsia"/>
          <w:sz w:val="28"/>
          <w:szCs w:val="28"/>
        </w:rPr>
        <w:t>丙方和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按相关规定</w:t>
      </w:r>
      <w:r>
        <w:rPr>
          <w:rFonts w:hint="eastAsia" w:asciiTheme="minorEastAsia" w:hAnsiTheme="minorEastAsia" w:eastAsiaTheme="minorEastAsia"/>
          <w:sz w:val="28"/>
          <w:szCs w:val="28"/>
          <w:lang w:eastAsia="zh-CN"/>
        </w:rPr>
        <w:t>和合同约定</w:t>
      </w:r>
      <w:r>
        <w:rPr>
          <w:rFonts w:asciiTheme="minorEastAsia" w:hAnsiTheme="minorEastAsia" w:eastAsiaTheme="minorEastAsia"/>
          <w:sz w:val="28"/>
          <w:szCs w:val="28"/>
        </w:rPr>
        <w:t>缴纳</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电量电费等相关费用。</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当甲方退市时，甲方应配合完成电量及费用清算。</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电量不得</w:t>
      </w:r>
      <w:r>
        <w:rPr>
          <w:rFonts w:hint="eastAsia" w:asciiTheme="minorEastAsia" w:hAnsiTheme="minorEastAsia" w:eastAsiaTheme="minorEastAsia"/>
          <w:sz w:val="28"/>
          <w:szCs w:val="28"/>
          <w:lang w:eastAsia="zh-CN"/>
        </w:rPr>
        <w:t>私自</w:t>
      </w:r>
      <w:r>
        <w:rPr>
          <w:rFonts w:asciiTheme="minorEastAsia" w:hAnsiTheme="minorEastAsia" w:eastAsiaTheme="minorEastAsia"/>
          <w:sz w:val="28"/>
          <w:szCs w:val="28"/>
        </w:rPr>
        <w:t>转供或变相转供</w:t>
      </w:r>
      <w:r>
        <w:rPr>
          <w:rFonts w:hint="eastAsia" w:asciiTheme="minorEastAsia" w:hAnsiTheme="minorEastAsia" w:eastAsiaTheme="minorEastAsia"/>
          <w:sz w:val="28"/>
          <w:szCs w:val="28"/>
          <w:lang w:eastAsia="zh-CN"/>
        </w:rPr>
        <w:t>电</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宋体" w:hAnsi="宋体"/>
          <w:sz w:val="28"/>
          <w:szCs w:val="28"/>
        </w:rPr>
      </w:pPr>
      <w:r>
        <w:rPr>
          <w:rFonts w:hint="eastAsia" w:ascii="宋体" w:hAnsi="宋体"/>
          <w:sz w:val="28"/>
          <w:szCs w:val="28"/>
        </w:rPr>
        <w:t>3.2.</w:t>
      </w:r>
      <w:r>
        <w:rPr>
          <w:rFonts w:hint="eastAsia" w:ascii="宋体" w:hAnsi="宋体"/>
          <w:sz w:val="28"/>
          <w:szCs w:val="28"/>
          <w:lang w:val="en-US" w:eastAsia="zh-CN"/>
        </w:rPr>
        <w:t>8</w:t>
      </w:r>
      <w:r>
        <w:rPr>
          <w:rFonts w:hint="eastAsia" w:ascii="宋体" w:hAnsi="宋体"/>
          <w:sz w:val="28"/>
          <w:szCs w:val="28"/>
        </w:rPr>
        <w:t>根据中发9号文及其配套文件精神，交易中心不以盈利为目的，可向市场主体合理收取费用。如后期出台相关收费标准，</w:t>
      </w:r>
      <w:r>
        <w:rPr>
          <w:rFonts w:ascii="宋体" w:hAnsi="宋体"/>
          <w:sz w:val="28"/>
          <w:szCs w:val="28"/>
        </w:rPr>
        <w:t>甲</w:t>
      </w:r>
      <w:r>
        <w:rPr>
          <w:rFonts w:hint="eastAsia" w:ascii="宋体" w:hAnsi="宋体"/>
          <w:sz w:val="28"/>
          <w:szCs w:val="28"/>
        </w:rPr>
        <w:t>方需按照收费标准，自收费执行日起缴纳（补缴）交易服务费</w:t>
      </w:r>
      <w:r>
        <w:rPr>
          <w:rFonts w:ascii="宋体" w:hAnsi="宋体"/>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宋体" w:hAnsi="宋体"/>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向乙方和丙方提供与履行本合同相关的其他信息。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3.3乙方的权利包括：</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3.3.1根据已与丙方签署的《并网调度协议》</w:t>
      </w:r>
      <w:r>
        <w:rPr>
          <w:rFonts w:hint="default" w:asciiTheme="minorEastAsia" w:hAnsiTheme="minorEastAsia" w:eastAsiaTheme="minorEastAsia"/>
          <w:sz w:val="28"/>
          <w:szCs w:val="28"/>
        </w:rPr>
        <w:t>《购售电合同》</w:t>
      </w:r>
      <w:r>
        <w:rPr>
          <w:rFonts w:asciiTheme="minorEastAsia" w:hAnsiTheme="minorEastAsia" w:eastAsiaTheme="minorEastAsia"/>
          <w:sz w:val="28"/>
          <w:szCs w:val="28"/>
        </w:rPr>
        <w:t>，按照国家有关法规享受丙方提供的并网调度服务。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3.3.2根据本合同</w:t>
      </w:r>
      <w:r>
        <w:rPr>
          <w:rFonts w:hint="eastAsia" w:asciiTheme="minorEastAsia" w:hAnsiTheme="minorEastAsia" w:eastAsiaTheme="minorEastAsia"/>
          <w:sz w:val="28"/>
          <w:szCs w:val="28"/>
          <w:lang w:eastAsia="zh-CN"/>
        </w:rPr>
        <w:t>获得</w:t>
      </w:r>
      <w:r>
        <w:rPr>
          <w:rFonts w:asciiTheme="minorEastAsia" w:hAnsiTheme="minorEastAsia" w:eastAsiaTheme="minorEastAsia"/>
          <w:sz w:val="28"/>
          <w:szCs w:val="28"/>
        </w:rPr>
        <w:t>丙方提供的输配电服务。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3.3.3按相关规定</w:t>
      </w:r>
      <w:r>
        <w:rPr>
          <w:rFonts w:hint="eastAsia" w:asciiTheme="minorEastAsia" w:hAnsiTheme="minorEastAsia" w:eastAsiaTheme="minorEastAsia"/>
          <w:sz w:val="28"/>
          <w:szCs w:val="28"/>
          <w:lang w:eastAsia="zh-CN"/>
        </w:rPr>
        <w:t>和合同约定</w:t>
      </w:r>
      <w:r>
        <w:rPr>
          <w:rFonts w:hint="eastAsia" w:asciiTheme="minorEastAsia" w:hAnsiTheme="minorEastAsia" w:eastAsiaTheme="minorEastAsia"/>
          <w:sz w:val="28"/>
          <w:szCs w:val="28"/>
          <w:lang w:val="en-US" w:eastAsia="zh-CN"/>
        </w:rPr>
        <w:t>收取</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电量电费。</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3.3.4</w:t>
      </w:r>
      <w:r>
        <w:rPr>
          <w:rFonts w:hint="eastAsia" w:asciiTheme="minorEastAsia" w:hAnsiTheme="minorEastAsia" w:eastAsiaTheme="minorEastAsia"/>
          <w:sz w:val="28"/>
          <w:szCs w:val="28"/>
        </w:rPr>
        <w:t>与</w:t>
      </w:r>
      <w:r>
        <w:rPr>
          <w:rFonts w:hint="eastAsia" w:asciiTheme="minorEastAsia" w:hAnsiTheme="minorEastAsia" w:eastAsiaTheme="minorEastAsia"/>
          <w:sz w:val="28"/>
          <w:szCs w:val="28"/>
          <w:lang w:val="en-US" w:eastAsia="zh-CN"/>
        </w:rPr>
        <w:t>甲方、丙方</w:t>
      </w:r>
      <w:r>
        <w:rPr>
          <w:rFonts w:hint="eastAsia" w:asciiTheme="minorEastAsia" w:hAnsiTheme="minorEastAsia" w:eastAsiaTheme="minorEastAsia"/>
          <w:sz w:val="28"/>
          <w:szCs w:val="28"/>
        </w:rPr>
        <w:t>协商制订与履行本合同有关的生产计划和设备检修计划</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3.3.5获得甲方、丙方履行本合同义务相关的信息、资料及查阅关口计量数据。</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3.4乙方的义务包括：</w:t>
      </w:r>
    </w:p>
    <w:p>
      <w:pPr>
        <w:keepNext w:val="0"/>
        <w:keepLines w:val="0"/>
        <w:pageBreakBefore w:val="0"/>
        <w:kinsoku/>
        <w:wordWrap/>
        <w:overflowPunct/>
        <w:topLinePunct w:val="0"/>
        <w:autoSpaceDE/>
        <w:autoSpaceDN/>
        <w:bidi w:val="0"/>
        <w:spacing w:line="240" w:lineRule="auto"/>
        <w:ind w:firstLine="562"/>
        <w:textAlignment w:val="auto"/>
        <w:rPr>
          <w:rFonts w:asciiTheme="minorEastAsia" w:hAnsiTheme="minorEastAsia" w:eastAsiaTheme="minorEastAsia"/>
          <w:sz w:val="28"/>
          <w:szCs w:val="28"/>
        </w:rPr>
      </w:pPr>
      <w:r>
        <w:rPr>
          <w:rFonts w:asciiTheme="minorEastAsia" w:hAnsiTheme="minorEastAsia" w:eastAsiaTheme="minorEastAsia"/>
          <w:sz w:val="28"/>
          <w:szCs w:val="28"/>
        </w:rPr>
        <w:t>3.4.1</w:t>
      </w:r>
      <w:r>
        <w:rPr>
          <w:rFonts w:hint="eastAsia" w:asciiTheme="minorEastAsia" w:hAnsiTheme="minorEastAsia" w:eastAsiaTheme="minorEastAsia"/>
          <w:sz w:val="28"/>
          <w:szCs w:val="28"/>
        </w:rPr>
        <w:t>遵守与丙方签订的《并网调度协议》，按照国家有关法规、规定和技术规范，运行、维护有关发电设施，提供符合国家标准和电力行业标准的电能。</w:t>
      </w:r>
    </w:p>
    <w:p>
      <w:pPr>
        <w:keepNext w:val="0"/>
        <w:keepLines w:val="0"/>
        <w:pageBreakBefore w:val="0"/>
        <w:kinsoku/>
        <w:wordWrap/>
        <w:overflowPunct/>
        <w:topLinePunct w:val="0"/>
        <w:autoSpaceDE/>
        <w:autoSpaceDN/>
        <w:bidi w:val="0"/>
        <w:spacing w:line="240" w:lineRule="auto"/>
        <w:ind w:firstLine="562"/>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3.4.2按照国家有关法律、规定和技术规范参与电力市场交易。</w:t>
      </w:r>
    </w:p>
    <w:p>
      <w:pPr>
        <w:keepNext w:val="0"/>
        <w:keepLines w:val="0"/>
        <w:pageBreakBefore w:val="0"/>
        <w:kinsoku/>
        <w:wordWrap/>
        <w:overflowPunct/>
        <w:topLinePunct w:val="0"/>
        <w:autoSpaceDE/>
        <w:autoSpaceDN/>
        <w:bidi w:val="0"/>
        <w:spacing w:line="240" w:lineRule="auto"/>
        <w:ind w:firstLine="562"/>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3.4.</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遵守已与丙方签署的《购售电合同》《并网调度协议》，按照国家有关法规、规定和技术规范，运行、维护有关发电设施</w:t>
      </w:r>
      <w:r>
        <w:rPr>
          <w:rFonts w:hint="eastAsia" w:asciiTheme="minorEastAsia" w:hAnsiTheme="minorEastAsia" w:eastAsiaTheme="minorEastAsia"/>
          <w:sz w:val="28"/>
          <w:szCs w:val="28"/>
          <w:lang w:eastAsia="zh-CN"/>
        </w:rPr>
        <w:t>，服从电力调度机构的统一调度。</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及时向</w:t>
      </w:r>
      <w:r>
        <w:rPr>
          <w:rFonts w:hint="eastAsia" w:asciiTheme="minorEastAsia" w:hAnsiTheme="minorEastAsia" w:eastAsiaTheme="minorEastAsia"/>
          <w:sz w:val="28"/>
          <w:szCs w:val="28"/>
          <w:lang w:val="en-US" w:eastAsia="zh-CN"/>
        </w:rPr>
        <w:t>甲方、</w:t>
      </w:r>
      <w:r>
        <w:rPr>
          <w:rFonts w:asciiTheme="minorEastAsia" w:hAnsiTheme="minorEastAsia" w:eastAsiaTheme="minorEastAsia"/>
          <w:sz w:val="28"/>
          <w:szCs w:val="28"/>
        </w:rPr>
        <w:t>丙方和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容量、电量、负荷曲线及其他生产运行信息。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keepNext w:val="0"/>
        <w:keepLines w:val="0"/>
        <w:pageBreakBefore w:val="0"/>
        <w:widowControl w:val="0"/>
        <w:kinsoku/>
        <w:wordWrap/>
        <w:overflowPunct/>
        <w:topLinePunct w:val="0"/>
        <w:autoSpaceDE/>
        <w:autoSpaceDN/>
        <w:bidi w:val="0"/>
        <w:spacing w:line="240" w:lineRule="auto"/>
        <w:ind w:firstLine="560"/>
        <w:textAlignment w:val="auto"/>
        <w:rPr>
          <w:rFonts w:ascii="宋体" w:hAnsi="宋体"/>
          <w:sz w:val="28"/>
          <w:szCs w:val="28"/>
        </w:rPr>
      </w:pPr>
      <w:r>
        <w:rPr>
          <w:rFonts w:hint="eastAsia" w:ascii="宋体" w:hAnsi="宋体"/>
          <w:sz w:val="28"/>
          <w:szCs w:val="28"/>
        </w:rPr>
        <w:t>3.4.</w:t>
      </w:r>
      <w:r>
        <w:rPr>
          <w:rFonts w:hint="eastAsia" w:ascii="宋体" w:hAnsi="宋体"/>
          <w:sz w:val="28"/>
          <w:szCs w:val="28"/>
          <w:lang w:val="en-US" w:eastAsia="zh-CN"/>
        </w:rPr>
        <w:t>6</w:t>
      </w:r>
      <w:r>
        <w:rPr>
          <w:rFonts w:hint="eastAsia" w:ascii="宋体" w:hAnsi="宋体"/>
          <w:sz w:val="28"/>
          <w:szCs w:val="28"/>
        </w:rPr>
        <w:t>根据中发9号文及其配套文件精神，交易中心不以盈利为目的，可向市场主体合理收取费用。如后期出台相关收费标准，乙方需按照收费标准，自收费执行日起缴纳（补缴）交易服务费</w:t>
      </w:r>
      <w:r>
        <w:rPr>
          <w:rFonts w:ascii="宋体" w:hAnsi="宋体"/>
          <w:sz w:val="28"/>
          <w:szCs w:val="28"/>
        </w:rPr>
        <w:t>。</w:t>
      </w:r>
    </w:p>
    <w:p>
      <w:pPr>
        <w:keepNext w:val="0"/>
        <w:keepLines w:val="0"/>
        <w:pageBreakBefore w:val="0"/>
        <w:widowControl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3.4.</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向甲方和丙方提供与履行本合同相关的其他信息。</w:t>
      </w:r>
    </w:p>
    <w:p>
      <w:pPr>
        <w:keepNext w:val="0"/>
        <w:keepLines w:val="0"/>
        <w:pageBreakBefore w:val="0"/>
        <w:widowControl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3.5丙方的权利包括：</w:t>
      </w:r>
    </w:p>
    <w:p>
      <w:pPr>
        <w:keepNext w:val="0"/>
        <w:keepLines w:val="0"/>
        <w:pageBreakBefore w:val="0"/>
        <w:widowControl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3.5.1与甲方、乙方协商制订</w:t>
      </w:r>
      <w:r>
        <w:rPr>
          <w:rFonts w:hint="eastAsia" w:asciiTheme="minorEastAsia" w:hAnsiTheme="minorEastAsia" w:eastAsiaTheme="minorEastAsia"/>
          <w:sz w:val="28"/>
          <w:szCs w:val="28"/>
        </w:rPr>
        <w:t>与履行本合同有关的</w:t>
      </w:r>
      <w:r>
        <w:rPr>
          <w:rFonts w:asciiTheme="minorEastAsia" w:hAnsiTheme="minorEastAsia" w:eastAsiaTheme="minorEastAsia"/>
          <w:sz w:val="28"/>
          <w:szCs w:val="28"/>
        </w:rPr>
        <w:t>生产计划和设备维修计划。</w:t>
      </w:r>
    </w:p>
    <w:p>
      <w:pPr>
        <w:keepNext w:val="0"/>
        <w:keepLines w:val="0"/>
        <w:pageBreakBefore w:val="0"/>
        <w:widowControl w:val="0"/>
        <w:kinsoku/>
        <w:wordWrap/>
        <w:overflowPunct/>
        <w:topLinePunct w:val="0"/>
        <w:autoSpaceDE/>
        <w:autoSpaceDN/>
        <w:bidi w:val="0"/>
        <w:spacing w:line="240" w:lineRule="auto"/>
        <w:ind w:firstLine="560"/>
        <w:textAlignment w:val="auto"/>
        <w:rPr>
          <w:rFonts w:hint="eastAsia" w:ascii="宋体" w:hAnsi="宋体"/>
          <w:sz w:val="28"/>
          <w:szCs w:val="28"/>
        </w:rPr>
      </w:pPr>
      <w:r>
        <w:rPr>
          <w:rFonts w:asciiTheme="minorEastAsia" w:hAnsiTheme="minorEastAsia" w:eastAsiaTheme="minorEastAsia"/>
          <w:sz w:val="28"/>
          <w:szCs w:val="28"/>
        </w:rPr>
        <w:t>3.5.2</w:t>
      </w:r>
      <w:r>
        <w:rPr>
          <w:rFonts w:hint="eastAsia" w:asciiTheme="minorEastAsia" w:hAnsiTheme="minorEastAsia" w:eastAsiaTheme="minorEastAsia"/>
          <w:sz w:val="28"/>
          <w:szCs w:val="28"/>
        </w:rPr>
        <w:t>按规定向甲方收取</w:t>
      </w:r>
      <w:r>
        <w:rPr>
          <w:rFonts w:hint="eastAsia" w:asciiTheme="minorEastAsia" w:hAnsiTheme="minorEastAsia" w:eastAsiaTheme="minorEastAsia"/>
          <w:sz w:val="28"/>
          <w:szCs w:val="28"/>
          <w:lang w:eastAsia="zh-CN"/>
        </w:rPr>
        <w:t>电能量</w:t>
      </w:r>
      <w:r>
        <w:rPr>
          <w:rFonts w:hint="eastAsia" w:asciiTheme="minorEastAsia" w:hAnsiTheme="minorEastAsia" w:eastAsiaTheme="minorEastAsia"/>
          <w:sz w:val="28"/>
          <w:szCs w:val="28"/>
        </w:rPr>
        <w:t>交易电费、基本电费、输配电费、</w:t>
      </w:r>
      <w:r>
        <w:rPr>
          <w:rFonts w:hint="eastAsia" w:cs="Times New Roman" w:asciiTheme="minorEastAsia" w:hAnsiTheme="minorEastAsia" w:eastAsiaTheme="minorEastAsia"/>
          <w:sz w:val="28"/>
          <w:szCs w:val="28"/>
          <w:lang w:val="en-US" w:eastAsia="zh-CN"/>
        </w:rPr>
        <w:t>线损电费、</w:t>
      </w:r>
      <w:r>
        <w:rPr>
          <w:rFonts w:hint="eastAsia" w:asciiTheme="minorEastAsia" w:hAnsiTheme="minorEastAsia" w:eastAsiaTheme="minorEastAsia"/>
          <w:sz w:val="28"/>
          <w:szCs w:val="28"/>
        </w:rPr>
        <w:t>国家规</w:t>
      </w:r>
      <w:r>
        <w:rPr>
          <w:rFonts w:hint="eastAsia" w:ascii="宋体" w:hAnsi="宋体"/>
          <w:sz w:val="28"/>
          <w:szCs w:val="28"/>
        </w:rPr>
        <w:t>定由丙方代收的政府性基金及附加等。</w:t>
      </w:r>
    </w:p>
    <w:p>
      <w:pPr>
        <w:keepNext w:val="0"/>
        <w:keepLines w:val="0"/>
        <w:pageBreakBefore w:val="0"/>
        <w:widowControl w:val="0"/>
        <w:kinsoku/>
        <w:wordWrap/>
        <w:overflowPunct/>
        <w:topLinePunct w:val="0"/>
        <w:autoSpaceDE/>
        <w:autoSpaceDN/>
        <w:bidi w:val="0"/>
        <w:spacing w:line="240" w:lineRule="auto"/>
        <w:ind w:firstLine="560"/>
        <w:textAlignment w:val="auto"/>
        <w:rPr>
          <w:rFonts w:hint="eastAsia" w:ascii="宋体" w:hAnsi="宋体"/>
          <w:sz w:val="28"/>
          <w:szCs w:val="28"/>
        </w:rPr>
      </w:pPr>
      <w:r>
        <w:rPr>
          <w:rFonts w:hint="eastAsia" w:ascii="宋体" w:hAnsi="宋体"/>
          <w:sz w:val="28"/>
          <w:szCs w:val="28"/>
        </w:rPr>
        <w:t>3.5.</w:t>
      </w:r>
      <w:r>
        <w:rPr>
          <w:rFonts w:hint="eastAsia" w:ascii="宋体" w:hAnsi="宋体"/>
          <w:sz w:val="28"/>
          <w:szCs w:val="28"/>
          <w:lang w:val="en-US" w:eastAsia="zh-CN"/>
        </w:rPr>
        <w:t>3</w:t>
      </w:r>
      <w:r>
        <w:rPr>
          <w:rFonts w:hint="eastAsia" w:ascii="宋体" w:hAnsi="宋体"/>
          <w:sz w:val="28"/>
          <w:szCs w:val="28"/>
        </w:rPr>
        <w:t>有权就甲方的违法违约用电依法采取相应的措施。</w:t>
      </w:r>
    </w:p>
    <w:p>
      <w:pPr>
        <w:keepNext w:val="0"/>
        <w:keepLines w:val="0"/>
        <w:pageBreakBefore w:val="0"/>
        <w:widowControl w:val="0"/>
        <w:kinsoku/>
        <w:wordWrap/>
        <w:overflowPunct/>
        <w:topLinePunct w:val="0"/>
        <w:autoSpaceDE/>
        <w:autoSpaceDN/>
        <w:bidi w:val="0"/>
        <w:spacing w:line="240" w:lineRule="auto"/>
        <w:ind w:firstLine="560"/>
        <w:textAlignment w:val="auto"/>
        <w:rPr>
          <w:rFonts w:hint="eastAsia" w:ascii="宋体" w:hAnsi="宋体"/>
          <w:sz w:val="28"/>
          <w:szCs w:val="28"/>
        </w:rPr>
      </w:pPr>
      <w:r>
        <w:rPr>
          <w:rFonts w:hint="eastAsia" w:ascii="宋体" w:hAnsi="宋体"/>
          <w:sz w:val="28"/>
          <w:szCs w:val="28"/>
        </w:rPr>
        <w:t>3.5.</w:t>
      </w:r>
      <w:r>
        <w:rPr>
          <w:rFonts w:hint="eastAsia" w:ascii="宋体" w:hAnsi="宋体"/>
          <w:sz w:val="28"/>
          <w:szCs w:val="28"/>
          <w:lang w:val="en-US" w:eastAsia="zh-CN"/>
        </w:rPr>
        <w:t>4</w:t>
      </w:r>
      <w:r>
        <w:rPr>
          <w:rFonts w:hint="eastAsia" w:ascii="宋体" w:hAnsi="宋体"/>
          <w:sz w:val="28"/>
          <w:szCs w:val="28"/>
        </w:rPr>
        <w:t>有权就甲方、乙方违反调度法律、法规、规程妨碍电网安全稳定运行依法采取相应的措施。</w:t>
      </w:r>
    </w:p>
    <w:p>
      <w:pPr>
        <w:keepNext w:val="0"/>
        <w:keepLines w:val="0"/>
        <w:pageBreakBefore w:val="0"/>
        <w:widowControl w:val="0"/>
        <w:kinsoku/>
        <w:wordWrap/>
        <w:overflowPunct/>
        <w:topLinePunct w:val="0"/>
        <w:autoSpaceDE/>
        <w:autoSpaceDN/>
        <w:bidi w:val="0"/>
        <w:spacing w:line="240" w:lineRule="auto"/>
        <w:ind w:firstLine="560"/>
        <w:textAlignment w:val="auto"/>
        <w:rPr>
          <w:rFonts w:hint="eastAsia" w:ascii="宋体" w:hAnsi="宋体"/>
          <w:sz w:val="28"/>
          <w:szCs w:val="28"/>
        </w:rPr>
      </w:pPr>
      <w:r>
        <w:rPr>
          <w:rFonts w:hint="eastAsia" w:ascii="宋体" w:hAnsi="宋体"/>
          <w:sz w:val="28"/>
          <w:szCs w:val="28"/>
        </w:rPr>
        <w:t>3.5.</w:t>
      </w:r>
      <w:r>
        <w:rPr>
          <w:rFonts w:hint="eastAsia" w:ascii="宋体" w:hAnsi="宋体"/>
          <w:sz w:val="28"/>
          <w:szCs w:val="28"/>
          <w:lang w:val="en-US" w:eastAsia="zh-CN"/>
        </w:rPr>
        <w:t>5</w:t>
      </w:r>
      <w:r>
        <w:rPr>
          <w:rFonts w:hint="eastAsia" w:ascii="宋体" w:hAnsi="宋体"/>
          <w:sz w:val="28"/>
          <w:szCs w:val="28"/>
        </w:rPr>
        <w:t>获得甲方、乙方履行本合同义务相关的信息、资料及查阅关口计量数据。</w:t>
      </w:r>
    </w:p>
    <w:p>
      <w:pPr>
        <w:keepNext w:val="0"/>
        <w:keepLines w:val="0"/>
        <w:pageBreakBefore w:val="0"/>
        <w:widowControl w:val="0"/>
        <w:kinsoku/>
        <w:wordWrap/>
        <w:overflowPunct/>
        <w:topLinePunct w:val="0"/>
        <w:autoSpaceDE/>
        <w:autoSpaceDN/>
        <w:bidi w:val="0"/>
        <w:spacing w:line="240" w:lineRule="auto"/>
        <w:ind w:firstLine="560"/>
        <w:textAlignment w:val="auto"/>
        <w:rPr>
          <w:rFonts w:hint="eastAsia" w:ascii="宋体" w:hAnsi="宋体"/>
          <w:sz w:val="28"/>
          <w:szCs w:val="28"/>
        </w:rPr>
      </w:pPr>
      <w:r>
        <w:rPr>
          <w:rFonts w:hint="eastAsia" w:ascii="宋体" w:hAnsi="宋体"/>
          <w:sz w:val="28"/>
          <w:szCs w:val="28"/>
        </w:rPr>
        <w:t>3.6丙方的义务包括：</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3.6.1遵守已与甲方签订的《供用电合同》和已与乙方签订的《购售电合同》《并网调度协议》。</w:t>
      </w:r>
    </w:p>
    <w:p>
      <w:pPr>
        <w:keepNext w:val="0"/>
        <w:keepLines w:val="0"/>
        <w:pageBreakBefore w:val="0"/>
        <w:kinsoku/>
        <w:wordWrap/>
        <w:overflowPunct/>
        <w:topLinePunct w:val="0"/>
        <w:autoSpaceDE/>
        <w:autoSpaceDN/>
        <w:bidi w:val="0"/>
        <w:spacing w:line="240" w:lineRule="auto"/>
        <w:ind w:firstLine="552"/>
        <w:textAlignment w:val="auto"/>
        <w:rPr>
          <w:rFonts w:hint="eastAsia" w:asciiTheme="minorEastAsia" w:hAnsiTheme="minorEastAsia" w:eastAsiaTheme="minorEastAsia"/>
          <w:sz w:val="28"/>
          <w:szCs w:val="28"/>
          <w:lang w:val="en-US" w:eastAsia="zh-CN"/>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2根据本合同约定向甲方、乙方提供输配电服务。</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3.6.3</w:t>
      </w:r>
      <w:r>
        <w:rPr>
          <w:rFonts w:hint="eastAsia" w:asciiTheme="minorEastAsia" w:hAnsiTheme="minorEastAsia" w:eastAsiaTheme="minorEastAsia"/>
          <w:sz w:val="28"/>
          <w:szCs w:val="28"/>
        </w:rPr>
        <w:t>抄录甲方和乙方计量点电量，按照电力交易中心出具的结算依据，提供电能和电费结算服务。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3.6.</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向甲方和乙方提供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pStyle w:val="7"/>
        <w:keepNext w:val="0"/>
        <w:keepLines w:val="0"/>
        <w:pageBreakBefore w:val="0"/>
        <w:kinsoku/>
        <w:wordWrap/>
        <w:overflowPunct/>
        <w:topLinePunct w:val="0"/>
        <w:autoSpaceDE/>
        <w:autoSpaceDN/>
        <w:bidi w:val="0"/>
        <w:spacing w:line="240" w:lineRule="auto"/>
        <w:ind w:firstLine="2783" w:firstLineChars="990"/>
        <w:jc w:val="both"/>
        <w:textAlignment w:val="auto"/>
        <w:rPr>
          <w:rFonts w:hint="eastAsia" w:asciiTheme="minorEastAsia" w:hAnsiTheme="minorEastAsia" w:eastAsiaTheme="minorEastAsia"/>
          <w:sz w:val="28"/>
          <w:szCs w:val="28"/>
          <w:lang w:eastAsia="zh-CN"/>
        </w:rPr>
      </w:pPr>
      <w:bookmarkStart w:id="27" w:name="_Toc26466"/>
      <w:bookmarkStart w:id="28" w:name="_Toc21358"/>
      <w:bookmarkStart w:id="29" w:name="_Toc2388"/>
      <w:bookmarkStart w:id="30" w:name="_Toc24280"/>
      <w:bookmarkStart w:id="31" w:name="_Toc1131"/>
      <w:bookmarkStart w:id="32" w:name="_Toc10084"/>
      <w:bookmarkStart w:id="33" w:name="_Toc28840"/>
      <w:bookmarkStart w:id="34" w:name="_Toc112"/>
      <w:bookmarkStart w:id="35" w:name="_Toc23362"/>
      <w:r>
        <w:rPr>
          <w:rFonts w:asciiTheme="minorEastAsia" w:hAnsiTheme="minorEastAsia" w:eastAsiaTheme="minorEastAsia"/>
          <w:sz w:val="28"/>
          <w:szCs w:val="28"/>
        </w:rPr>
        <w:t>第4章　交易电量</w:t>
      </w:r>
      <w:bookmarkEnd w:id="27"/>
      <w:bookmarkEnd w:id="28"/>
      <w:bookmarkEnd w:id="29"/>
      <w:bookmarkEnd w:id="30"/>
      <w:bookmarkEnd w:id="31"/>
      <w:bookmarkEnd w:id="32"/>
      <w:bookmarkEnd w:id="33"/>
      <w:bookmarkEnd w:id="34"/>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电价</w:t>
      </w:r>
      <w:bookmarkEnd w:id="35"/>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eastAsia" w:cs="Times New Roman" w:asciiTheme="minorEastAsia" w:hAnsiTheme="minorEastAsia" w:eastAsiaTheme="minorEastAsia"/>
          <w:sz w:val="28"/>
          <w:szCs w:val="28"/>
          <w:highlight w:val="none"/>
        </w:rPr>
      </w:pPr>
      <w:r>
        <w:rPr>
          <w:rFonts w:hint="eastAsia" w:cs="Times New Roman" w:asciiTheme="minorEastAsia" w:hAnsiTheme="minorEastAsia" w:eastAsiaTheme="minorEastAsia"/>
          <w:sz w:val="28"/>
          <w:szCs w:val="28"/>
        </w:rPr>
        <w:t>4.1</w:t>
      </w:r>
      <w:r>
        <w:rPr>
          <w:rFonts w:hint="default" w:cs="Times New Roman" w:asciiTheme="minorEastAsia" w:hAnsiTheme="minorEastAsia" w:eastAsiaTheme="minorEastAsia"/>
          <w:sz w:val="28"/>
          <w:szCs w:val="28"/>
          <w:lang w:val="en-US" w:eastAsia="zh-CN"/>
        </w:rPr>
        <w:t>广西电力市场以现货模式运行期间，本合同交易电量按分时执行，结算参考点按现货交易方案执行。广西电力市场非现货环境下应用分时段总电量、各时段交易电量加权平均价开展结算</w:t>
      </w:r>
      <w:r>
        <w:rPr>
          <w:rFonts w:hint="default" w:cs="Times New Roman" w:asciiTheme="minorEastAsia" w:hAnsiTheme="minorEastAsia" w:eastAsiaTheme="minorEastAsia"/>
          <w:sz w:val="28"/>
          <w:szCs w:val="28"/>
          <w:highlight w:val="none"/>
          <w:lang w:val="en-US" w:eastAsia="zh-CN"/>
        </w:rPr>
        <w:t>。</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cs="Times New Roman" w:asciiTheme="minorEastAsia" w:hAnsiTheme="minorEastAsia" w:eastAsiaTheme="minorEastAsia"/>
          <w:sz w:val="28"/>
          <w:szCs w:val="28"/>
          <w:highlight w:val="none"/>
        </w:rPr>
        <w:t>4.</w:t>
      </w:r>
      <w:r>
        <w:rPr>
          <w:rFonts w:hint="default" w:cs="Times New Roman" w:asciiTheme="minorEastAsia" w:hAnsiTheme="minorEastAsia" w:eastAsiaTheme="minorEastAsia"/>
          <w:sz w:val="28"/>
          <w:szCs w:val="28"/>
          <w:highlight w:val="none"/>
          <w:lang w:val="en-US" w:eastAsia="zh-CN"/>
        </w:rPr>
        <w:t>2</w:t>
      </w:r>
      <w:r>
        <w:rPr>
          <w:rFonts w:hint="default" w:cs="Times New Roman" w:asciiTheme="minorEastAsia" w:hAnsiTheme="minorEastAsia" w:eastAsiaTheme="minorEastAsia"/>
          <w:sz w:val="28"/>
          <w:szCs w:val="28"/>
          <w:highlight w:val="none"/>
        </w:rPr>
        <w:t>经甲</w:t>
      </w:r>
      <w:r>
        <w:rPr>
          <w:rFonts w:hint="default" w:cs="Times New Roman" w:asciiTheme="minorEastAsia" w:hAnsiTheme="minorEastAsia" w:eastAsiaTheme="minorEastAsia"/>
          <w:sz w:val="28"/>
          <w:szCs w:val="28"/>
          <w:highlight w:val="none"/>
          <w:lang w:eastAsia="zh-CN"/>
        </w:rPr>
        <w:t>、</w:t>
      </w:r>
      <w:r>
        <w:rPr>
          <w:rFonts w:hint="default" w:cs="Times New Roman" w:asciiTheme="minorEastAsia" w:hAnsiTheme="minorEastAsia" w:eastAsiaTheme="minorEastAsia"/>
          <w:sz w:val="28"/>
          <w:szCs w:val="28"/>
          <w:highlight w:val="none"/>
        </w:rPr>
        <w:t>乙</w:t>
      </w:r>
      <w:r>
        <w:rPr>
          <w:rFonts w:hint="eastAsia" w:cs="Times New Roman" w:asciiTheme="minorEastAsia" w:hAnsiTheme="minorEastAsia" w:eastAsiaTheme="minorEastAsia"/>
          <w:sz w:val="28"/>
          <w:szCs w:val="28"/>
          <w:highlight w:val="none"/>
          <w:lang w:val="en-US" w:eastAsia="zh-CN"/>
        </w:rPr>
        <w:t>双</w:t>
      </w:r>
      <w:r>
        <w:rPr>
          <w:rFonts w:hint="default" w:cs="Times New Roman" w:asciiTheme="minorEastAsia" w:hAnsiTheme="minorEastAsia" w:eastAsiaTheme="minorEastAsia"/>
          <w:sz w:val="28"/>
          <w:szCs w:val="28"/>
          <w:highlight w:val="none"/>
        </w:rPr>
        <w:t>方</w:t>
      </w:r>
      <w:r>
        <w:rPr>
          <w:rFonts w:cs="Times New Roman" w:asciiTheme="minorEastAsia" w:hAnsiTheme="minorEastAsia" w:eastAsiaTheme="minorEastAsia"/>
          <w:sz w:val="28"/>
          <w:szCs w:val="28"/>
          <w:highlight w:val="none"/>
        </w:rPr>
        <w:t>同意，</w:t>
      </w:r>
      <w:r>
        <w:rPr>
          <w:rFonts w:hint="default" w:cs="Times New Roman" w:asciiTheme="minorEastAsia" w:hAnsiTheme="minorEastAsia" w:eastAsiaTheme="minorEastAsia"/>
          <w:sz w:val="28"/>
          <w:szCs w:val="28"/>
          <w:highlight w:val="none"/>
          <w:lang w:val="en-US" w:eastAsia="zh-CN"/>
        </w:rPr>
        <w:t>自</w:t>
      </w:r>
      <w:r>
        <w:rPr>
          <w:rFonts w:hint="default"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lang w:val="en-US" w:eastAsia="zh-CN"/>
        </w:rPr>
        <w:t>年</w:t>
      </w:r>
      <w:r>
        <w:rPr>
          <w:rFonts w:hint="default"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lang w:val="en-US" w:eastAsia="zh-CN"/>
        </w:rPr>
        <w:t>月</w:t>
      </w:r>
      <w:r>
        <w:rPr>
          <w:rFonts w:hint="default"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lang w:val="en-US" w:eastAsia="zh-CN"/>
        </w:rPr>
        <w:t>日起至</w:t>
      </w:r>
      <w:r>
        <w:rPr>
          <w:rFonts w:hint="default"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lang w:val="en-US" w:eastAsia="zh-CN"/>
        </w:rPr>
        <w:t>年</w:t>
      </w:r>
      <w:r>
        <w:rPr>
          <w:rFonts w:hint="default" w:cs="Times New Roman" w:asciiTheme="minorEastAsia" w:hAnsiTheme="minorEastAsia" w:eastAsiaTheme="minorEastAsia"/>
          <w:sz w:val="28"/>
          <w:szCs w:val="28"/>
          <w:highlight w:val="none"/>
          <w:u w:val="none"/>
          <w:lang w:val="en-US" w:eastAsia="zh-CN"/>
        </w:rPr>
        <w:t xml:space="preserve">        </w:t>
      </w:r>
      <w:r>
        <w:rPr>
          <w:rFonts w:hint="default" w:cs="Times New Roman" w:asciiTheme="minorEastAsia" w:hAnsiTheme="minorEastAsia" w:eastAsiaTheme="minorEastAsia"/>
          <w:sz w:val="28"/>
          <w:szCs w:val="28"/>
          <w:highlight w:val="none"/>
          <w:lang w:val="en-US" w:eastAsia="zh-CN"/>
        </w:rPr>
        <w:t>月</w:t>
      </w:r>
      <w:r>
        <w:rPr>
          <w:rFonts w:hint="default"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lang w:val="en-US" w:eastAsia="zh-CN"/>
        </w:rPr>
        <w:t>日止，</w:t>
      </w:r>
      <w:r>
        <w:rPr>
          <w:rFonts w:cs="Times New Roman" w:asciiTheme="minorEastAsia" w:hAnsiTheme="minorEastAsia" w:eastAsiaTheme="minorEastAsia"/>
          <w:sz w:val="28"/>
          <w:szCs w:val="28"/>
          <w:highlight w:val="none"/>
        </w:rPr>
        <w:t>甲方</w:t>
      </w:r>
      <w:r>
        <w:rPr>
          <w:rFonts w:hint="default" w:cs="Times New Roman" w:asciiTheme="minorEastAsia" w:hAnsiTheme="minorEastAsia" w:eastAsiaTheme="minorEastAsia"/>
          <w:sz w:val="28"/>
          <w:szCs w:val="28"/>
          <w:highlight w:val="none"/>
          <w:lang w:val="en-US" w:eastAsia="zh-CN"/>
        </w:rPr>
        <w:t>交易单元</w:t>
      </w:r>
      <w:r>
        <w:rPr>
          <w:rFonts w:hint="default" w:cs="Times New Roman" w:asciiTheme="minorEastAsia" w:hAnsiTheme="minorEastAsia" w:eastAsiaTheme="minorEastAsia"/>
          <w:sz w:val="28"/>
          <w:szCs w:val="28"/>
          <w:highlight w:val="none"/>
          <w:u w:val="single"/>
          <w:lang w:val="en-US" w:eastAsia="zh-CN"/>
        </w:rPr>
        <w:t xml:space="preserve">  </w:t>
      </w:r>
      <w:r>
        <w:rPr>
          <w:rFonts w:hint="eastAsia"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u w:val="single"/>
          <w:lang w:val="en-US" w:eastAsia="zh-CN"/>
        </w:rPr>
        <w:t xml:space="preserve">    </w:t>
      </w:r>
      <w:r>
        <w:rPr>
          <w:rFonts w:cs="Times New Roman" w:asciiTheme="minorEastAsia" w:hAnsiTheme="minorEastAsia" w:eastAsiaTheme="minorEastAsia"/>
          <w:sz w:val="28"/>
          <w:szCs w:val="28"/>
          <w:highlight w:val="none"/>
        </w:rPr>
        <w:t>向乙方</w:t>
      </w:r>
      <w:r>
        <w:rPr>
          <w:rFonts w:hint="default" w:cs="Times New Roman" w:asciiTheme="minorEastAsia" w:hAnsiTheme="minorEastAsia" w:eastAsiaTheme="minorEastAsia"/>
          <w:sz w:val="28"/>
          <w:szCs w:val="28"/>
          <w:highlight w:val="none"/>
          <w:lang w:val="en-US" w:eastAsia="zh-CN"/>
        </w:rPr>
        <w:t>交易单元</w:t>
      </w:r>
      <w:r>
        <w:rPr>
          <w:rFonts w:hint="default" w:cs="Times New Roman" w:asciiTheme="minorEastAsia" w:hAnsiTheme="minorEastAsia" w:eastAsiaTheme="minorEastAsia"/>
          <w:sz w:val="28"/>
          <w:szCs w:val="28"/>
          <w:highlight w:val="none"/>
          <w:u w:val="single"/>
          <w:lang w:val="en-US" w:eastAsia="zh-CN"/>
        </w:rPr>
        <w:t xml:space="preserve">    </w:t>
      </w:r>
      <w:r>
        <w:rPr>
          <w:rFonts w:hint="eastAsia"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u w:val="single"/>
          <w:lang w:val="en-US" w:eastAsia="zh-CN"/>
        </w:rPr>
        <w:t xml:space="preserve">  </w:t>
      </w:r>
      <w:r>
        <w:rPr>
          <w:rFonts w:cs="Times New Roman" w:asciiTheme="minorEastAsia" w:hAnsiTheme="minorEastAsia" w:eastAsiaTheme="minorEastAsia"/>
          <w:sz w:val="28"/>
          <w:szCs w:val="28"/>
          <w:highlight w:val="none"/>
        </w:rPr>
        <w:t>购</w:t>
      </w:r>
      <w:r>
        <w:rPr>
          <w:rFonts w:hint="default" w:cs="Times New Roman" w:asciiTheme="minorEastAsia" w:hAnsiTheme="minorEastAsia" w:eastAsiaTheme="minorEastAsia"/>
          <w:sz w:val="28"/>
          <w:szCs w:val="28"/>
          <w:highlight w:val="none"/>
          <w:lang w:val="en-US" w:eastAsia="zh-CN"/>
        </w:rPr>
        <w:t>买</w:t>
      </w:r>
      <w:r>
        <w:rPr>
          <w:rFonts w:hint="default" w:cs="Times New Roman" w:asciiTheme="minorEastAsia" w:hAnsiTheme="minorEastAsia" w:eastAsiaTheme="minorEastAsia"/>
          <w:sz w:val="28"/>
          <w:szCs w:val="28"/>
          <w:highlight w:val="none"/>
        </w:rPr>
        <w:t>电量</w:t>
      </w:r>
      <w:r>
        <w:rPr>
          <w:rFonts w:hint="default" w:cs="Times New Roman" w:asciiTheme="minorEastAsia" w:hAnsiTheme="minorEastAsia" w:eastAsiaTheme="minorEastAsia"/>
          <w:sz w:val="28"/>
          <w:szCs w:val="28"/>
          <w:highlight w:val="none"/>
          <w:u w:val="single"/>
          <w:lang w:val="en-US" w:eastAsia="zh-CN"/>
        </w:rPr>
        <w:t xml:space="preserve">  </w:t>
      </w:r>
      <w:r>
        <w:rPr>
          <w:rFonts w:hint="eastAsia" w:cs="Times New Roman" w:asciiTheme="minorEastAsia" w:hAnsiTheme="minorEastAsia" w:eastAsiaTheme="minorEastAsia"/>
          <w:sz w:val="28"/>
          <w:szCs w:val="28"/>
          <w:highlight w:val="none"/>
          <w:u w:val="single"/>
          <w:lang w:val="en-US" w:eastAsia="zh-CN"/>
        </w:rPr>
        <w:t xml:space="preserve"> </w:t>
      </w:r>
      <w:r>
        <w:rPr>
          <w:rFonts w:hint="default" w:cs="Times New Roman" w:asciiTheme="minorEastAsia" w:hAnsiTheme="minorEastAsia" w:eastAsiaTheme="minorEastAsia"/>
          <w:sz w:val="28"/>
          <w:szCs w:val="28"/>
          <w:highlight w:val="none"/>
          <w:u w:val="single"/>
          <w:lang w:val="en-US" w:eastAsia="zh-CN"/>
        </w:rPr>
        <w:t xml:space="preserve">      </w:t>
      </w:r>
      <w:r>
        <w:rPr>
          <w:rFonts w:hint="eastAsia" w:cs="Times New Roman" w:asciiTheme="minorEastAsia" w:hAnsiTheme="minorEastAsia" w:eastAsiaTheme="minorEastAsia"/>
          <w:sz w:val="28"/>
          <w:szCs w:val="28"/>
          <w:highlight w:val="none"/>
          <w:lang w:val="en-US" w:eastAsia="zh-CN"/>
        </w:rPr>
        <w:t>兆瓦</w:t>
      </w:r>
      <w:r>
        <w:rPr>
          <w:rFonts w:hint="default" w:cs="Times New Roman" w:asciiTheme="minorEastAsia" w:hAnsiTheme="minorEastAsia" w:eastAsiaTheme="minorEastAsia"/>
          <w:sz w:val="28"/>
          <w:szCs w:val="28"/>
          <w:highlight w:val="none"/>
          <w:lang w:val="en-US" w:eastAsia="zh-CN"/>
        </w:rPr>
        <w:t>时（甲方侧计量）。交易电量分</w:t>
      </w:r>
      <w:r>
        <w:rPr>
          <w:rFonts w:hint="default" w:cs="Times New Roman" w:asciiTheme="minorEastAsia" w:hAnsiTheme="minorEastAsia" w:eastAsiaTheme="minorEastAsia"/>
          <w:sz w:val="28"/>
          <w:szCs w:val="28"/>
          <w:lang w:val="en-US" w:eastAsia="zh-CN"/>
        </w:rPr>
        <w:t>解至小时，分月、分时交易电量详见合同</w:t>
      </w:r>
      <w:r>
        <w:rPr>
          <w:rFonts w:hint="eastAsia" w:cs="Times New Roman" w:asciiTheme="minorEastAsia" w:hAnsiTheme="minorEastAsia" w:eastAsiaTheme="minorEastAsia"/>
          <w:sz w:val="28"/>
          <w:szCs w:val="28"/>
          <w:lang w:val="en-US" w:eastAsia="zh-CN"/>
        </w:rPr>
        <w:t>附录</w:t>
      </w:r>
      <w:r>
        <w:rPr>
          <w:rFonts w:hint="default" w:cs="Times New Roman" w:asciiTheme="minorEastAsia" w:hAnsiTheme="minorEastAsia" w:eastAsiaTheme="minorEastAsia"/>
          <w:sz w:val="28"/>
          <w:szCs w:val="28"/>
          <w:lang w:val="en-US" w:eastAsia="zh-CN"/>
        </w:rPr>
        <w:t>。</w:t>
      </w:r>
    </w:p>
    <w:p>
      <w:pPr>
        <w:keepNext w:val="0"/>
        <w:keepLines w:val="0"/>
        <w:pageBreakBefore w:val="0"/>
        <w:widowControl/>
        <w:kinsoku/>
        <w:wordWrap/>
        <w:overflowPunct/>
        <w:topLinePunct w:val="0"/>
        <w:autoSpaceDE/>
        <w:autoSpaceDN/>
        <w:bidi w:val="0"/>
        <w:spacing w:line="240" w:lineRule="auto"/>
        <w:ind w:firstLine="552" w:firstLineChars="0"/>
        <w:jc w:val="both"/>
        <w:textAlignment w:val="auto"/>
        <w:rPr>
          <w:rFonts w:hint="eastAsia" w:cs="Times New Roman" w:asciiTheme="minorEastAsia" w:hAnsiTheme="minorEastAsia" w:eastAsiaTheme="minorEastAsia"/>
          <w:sz w:val="28"/>
          <w:szCs w:val="28"/>
          <w:lang w:val="en-US" w:eastAsia="zh-CN"/>
        </w:rPr>
      </w:pPr>
      <w:r>
        <w:rPr>
          <w:rFonts w:hint="default" w:cs="Times New Roman" w:asciiTheme="minorEastAsia" w:hAnsiTheme="minorEastAsia" w:eastAsiaTheme="minorEastAsia"/>
          <w:sz w:val="28"/>
          <w:szCs w:val="28"/>
          <w:lang w:val="en-US" w:eastAsia="zh-CN"/>
        </w:rPr>
        <w:t>4.3经甲、乙两方同意，本合同</w:t>
      </w:r>
      <w:r>
        <w:rPr>
          <w:rFonts w:hint="eastAsia" w:cs="Times New Roman" w:asciiTheme="minorEastAsia" w:hAnsiTheme="minorEastAsia" w:eastAsiaTheme="minorEastAsia"/>
          <w:sz w:val="28"/>
          <w:szCs w:val="28"/>
          <w:lang w:val="en-US" w:eastAsia="zh-CN"/>
        </w:rPr>
        <w:t xml:space="preserve">各时段交易电量加权平均价为 </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u w:val="none"/>
          <w:lang w:val="en-US" w:eastAsia="zh-CN"/>
        </w:rPr>
        <w:t>元/兆瓦时</w:t>
      </w:r>
      <w:r>
        <w:rPr>
          <w:rFonts w:hint="eastAsia" w:cs="Times New Roman" w:asciiTheme="minorEastAsia" w:hAnsiTheme="minorEastAsia" w:eastAsiaTheme="minorEastAsia"/>
          <w:sz w:val="28"/>
          <w:szCs w:val="28"/>
          <w:lang w:val="en-US" w:eastAsia="zh-CN"/>
        </w:rPr>
        <w:t>。交易电价分解至小时，分月、分时交易电价详见合同附录</w:t>
      </w:r>
    </w:p>
    <w:p>
      <w:pPr>
        <w:keepNext w:val="0"/>
        <w:keepLines w:val="0"/>
        <w:pageBreakBefore w:val="0"/>
        <w:widowControl/>
        <w:kinsoku/>
        <w:wordWrap/>
        <w:overflowPunct/>
        <w:topLinePunct w:val="0"/>
        <w:autoSpaceDE/>
        <w:autoSpaceDN/>
        <w:bidi w:val="0"/>
        <w:spacing w:line="240" w:lineRule="auto"/>
        <w:ind w:firstLine="552" w:firstLineChars="0"/>
        <w:jc w:val="both"/>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4.4</w:t>
      </w:r>
      <w:r>
        <w:rPr>
          <w:rFonts w:hint="eastAsia" w:asciiTheme="minorEastAsia" w:hAnsiTheme="minorEastAsia" w:eastAsiaTheme="minorEastAsia"/>
          <w:sz w:val="28"/>
          <w:szCs w:val="28"/>
        </w:rPr>
        <w:t>以上所指的价格均含税。</w:t>
      </w:r>
      <w:r>
        <w:rPr>
          <w:rFonts w:hint="eastAsia" w:asciiTheme="minorEastAsia" w:hAnsiTheme="minorEastAsia" w:eastAsiaTheme="minorEastAsia"/>
          <w:sz w:val="28"/>
          <w:szCs w:val="28"/>
          <w:lang w:eastAsia="zh-CN"/>
        </w:rPr>
        <w:t>若国家税率调整，本合同含税电价保持不变。</w:t>
      </w:r>
    </w:p>
    <w:p>
      <w:pPr>
        <w:keepNext w:val="0"/>
        <w:keepLines w:val="0"/>
        <w:pageBreakBefore w:val="0"/>
        <w:kinsoku/>
        <w:wordWrap/>
        <w:overflowPunct/>
        <w:topLinePunct w:val="0"/>
        <w:autoSpaceDE/>
        <w:autoSpaceDN/>
        <w:bidi w:val="0"/>
        <w:spacing w:line="240" w:lineRule="auto"/>
        <w:ind w:firstLine="56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4.5交易电价不应超出市场交易电价上下限，具体以政府部门有关文件或批复为准。</w:t>
      </w:r>
    </w:p>
    <w:p>
      <w:pPr>
        <w:pStyle w:val="2"/>
        <w:rPr>
          <w:rFonts w:hint="default" w:eastAsiaTheme="minorEastAsia"/>
          <w:lang w:val="en-US" w:eastAsia="zh-CN"/>
        </w:rPr>
      </w:pPr>
      <w:r>
        <w:rPr>
          <w:rFonts w:hint="eastAsia" w:cs="Times New Roman" w:asciiTheme="minorEastAsia" w:hAnsiTheme="minorEastAsia" w:eastAsiaTheme="minorEastAsia"/>
          <w:sz w:val="28"/>
          <w:szCs w:val="28"/>
          <w:lang w:val="en-US" w:eastAsia="zh-CN"/>
        </w:rPr>
        <w:t>4.6本合同中交易电量、交易价格有关条款，以甲乙两方通过电力交易平台交易申报、确认，并最终以通过电力调度机构安全校核、由电力交易机构发布的交易结果为准。</w:t>
      </w:r>
    </w:p>
    <w:p>
      <w:pPr>
        <w:pStyle w:val="7"/>
        <w:keepNext w:val="0"/>
        <w:keepLines w:val="0"/>
        <w:pageBreakBefore w:val="0"/>
        <w:kinsoku/>
        <w:wordWrap/>
        <w:overflowPunct/>
        <w:topLinePunct w:val="0"/>
        <w:autoSpaceDE/>
        <w:autoSpaceDN/>
        <w:bidi w:val="0"/>
        <w:spacing w:line="240" w:lineRule="auto"/>
        <w:ind w:firstLine="3064" w:firstLineChars="1090"/>
        <w:jc w:val="both"/>
        <w:textAlignment w:val="auto"/>
        <w:rPr>
          <w:rFonts w:asciiTheme="minorEastAsia" w:hAnsiTheme="minorEastAsia" w:eastAsiaTheme="minorEastAsia"/>
          <w:sz w:val="28"/>
          <w:szCs w:val="28"/>
        </w:rPr>
      </w:pPr>
      <w:bookmarkStart w:id="36" w:name="_Toc12761"/>
      <w:bookmarkStart w:id="37" w:name="_Toc6865"/>
      <w:bookmarkStart w:id="38" w:name="_Toc23126"/>
      <w:bookmarkStart w:id="39" w:name="_Toc30494"/>
      <w:bookmarkStart w:id="40" w:name="_Toc18088"/>
      <w:bookmarkStart w:id="41" w:name="_Toc21685"/>
      <w:bookmarkStart w:id="42" w:name="_Toc26756"/>
      <w:bookmarkStart w:id="43" w:name="_Toc13635"/>
      <w:bookmarkStart w:id="44" w:name="_Toc18668"/>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电能计量</w:t>
      </w:r>
      <w:bookmarkEnd w:id="36"/>
      <w:bookmarkEnd w:id="37"/>
      <w:bookmarkEnd w:id="38"/>
      <w:bookmarkEnd w:id="39"/>
      <w:bookmarkEnd w:id="40"/>
      <w:bookmarkEnd w:id="41"/>
      <w:bookmarkEnd w:id="42"/>
      <w:bookmarkEnd w:id="43"/>
      <w:bookmarkEnd w:id="44"/>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交易</w:t>
      </w:r>
      <w:r>
        <w:rPr>
          <w:rFonts w:hint="eastAsia" w:asciiTheme="minorEastAsia" w:hAnsiTheme="minorEastAsia" w:eastAsiaTheme="minorEastAsia"/>
          <w:sz w:val="28"/>
          <w:szCs w:val="28"/>
        </w:rPr>
        <w:t>涉及的</w:t>
      </w:r>
      <w:r>
        <w:rPr>
          <w:rFonts w:asciiTheme="minorEastAsia" w:hAnsiTheme="minorEastAsia" w:eastAsiaTheme="minorEastAsia"/>
          <w:sz w:val="28"/>
          <w:szCs w:val="28"/>
        </w:rPr>
        <w:t>电量计量点分别在甲方与丙方签订的《供用电合同》</w:t>
      </w:r>
      <w:r>
        <w:rPr>
          <w:rFonts w:hint="eastAsia" w:asciiTheme="minorEastAsia" w:hAnsiTheme="minorEastAsia" w:eastAsiaTheme="minorEastAsia"/>
          <w:sz w:val="28"/>
          <w:szCs w:val="28"/>
        </w:rPr>
        <w:t>以及</w:t>
      </w:r>
      <w:r>
        <w:rPr>
          <w:rFonts w:asciiTheme="minorEastAsia" w:hAnsiTheme="minorEastAsia" w:eastAsiaTheme="minorEastAsia"/>
          <w:sz w:val="28"/>
          <w:szCs w:val="28"/>
        </w:rPr>
        <w:t>乙方与丙方签订的《购售电合同》中约定。</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.2</w:t>
      </w:r>
      <w:r>
        <w:rPr>
          <w:rFonts w:hint="eastAsia" w:asciiTheme="minorEastAsia" w:hAnsiTheme="minorEastAsia" w:eastAsiaTheme="minorEastAsia"/>
          <w:sz w:val="28"/>
          <w:szCs w:val="28"/>
          <w:lang w:eastAsia="zh-CN"/>
        </w:rPr>
        <w:t>电力交易涉及的电能计量装置、</w:t>
      </w:r>
      <w:r>
        <w:rPr>
          <w:rFonts w:asciiTheme="minorEastAsia" w:hAnsiTheme="minorEastAsia" w:eastAsiaTheme="minorEastAsia"/>
          <w:sz w:val="28"/>
          <w:szCs w:val="28"/>
        </w:rPr>
        <w:t>电能计量装置校验要求和计量装置异常处理办法按甲方与丙方签订的《供用电合同》</w:t>
      </w:r>
      <w:r>
        <w:rPr>
          <w:rFonts w:hint="eastAsia" w:asciiTheme="minorEastAsia" w:hAnsiTheme="minorEastAsia" w:eastAsiaTheme="minorEastAsia"/>
          <w:sz w:val="28"/>
          <w:szCs w:val="28"/>
        </w:rPr>
        <w:t>及</w:t>
      </w:r>
      <w:r>
        <w:rPr>
          <w:rFonts w:asciiTheme="minorEastAsia" w:hAnsiTheme="minorEastAsia" w:eastAsiaTheme="minorEastAsia"/>
          <w:sz w:val="28"/>
          <w:szCs w:val="28"/>
        </w:rPr>
        <w:t>乙方与丙方签订的《购售电合同》的约定执行。</w:t>
      </w:r>
    </w:p>
    <w:p>
      <w:pPr>
        <w:ind w:firstLine="564"/>
      </w:pPr>
      <w:r>
        <w:rPr>
          <w:rFonts w:hint="eastAsia" w:asciiTheme="minorEastAsia" w:hAnsiTheme="minorEastAsia" w:eastAsiaTheme="minorEastAsia"/>
          <w:sz w:val="28"/>
          <w:szCs w:val="28"/>
          <w:lang w:val="en-US" w:eastAsia="zh-CN"/>
        </w:rPr>
        <w:t>5.3本合同履行期间，若电能计量点发生变更，各方应以书面方式对计量点变更情况进行确认</w:t>
      </w:r>
      <w:r>
        <w:rPr>
          <w:rFonts w:asciiTheme="minorEastAsia" w:hAnsiTheme="minorEastAsia" w:eastAsiaTheme="minorEastAsia"/>
          <w:sz w:val="28"/>
          <w:szCs w:val="28"/>
        </w:rPr>
        <w:t>。</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45" w:name="_Toc10747"/>
      <w:bookmarkStart w:id="46" w:name="_Toc28960"/>
      <w:bookmarkStart w:id="47" w:name="_Toc8152"/>
      <w:bookmarkStart w:id="48" w:name="_Toc7560"/>
      <w:bookmarkStart w:id="49" w:name="_Toc20262"/>
      <w:bookmarkStart w:id="50" w:name="_Toc8329"/>
      <w:bookmarkStart w:id="51" w:name="_Toc30952"/>
      <w:bookmarkStart w:id="52" w:name="_Toc14553"/>
      <w:bookmarkStart w:id="53" w:name="_Toc9512"/>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结算和支付</w:t>
      </w:r>
      <w:bookmarkEnd w:id="45"/>
      <w:bookmarkEnd w:id="46"/>
      <w:bookmarkEnd w:id="47"/>
      <w:bookmarkEnd w:id="48"/>
      <w:bookmarkEnd w:id="49"/>
      <w:bookmarkEnd w:id="50"/>
      <w:bookmarkEnd w:id="51"/>
      <w:bookmarkEnd w:id="52"/>
      <w:bookmarkEnd w:id="53"/>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6.1广西电力市场现货运行期间，本合同按照《广西电力批发市场结算实施细则（现货环境下）》及现货市场结算试运行方案相关要求进行结算。广西电力市场非现货运行期间，本合同按照《广西电力批发市场结算实施细则（非现货环境下）》以及市场运行相关要求进行结算。</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6.2丙方按照电力交易中心出具的结算依据，向甲方、乙方出具结算凭证和开展电费结算。电费结算方式和日期按甲方与丙方电费结算相关约定以及乙方与丙方签订的《购售电合同》中相关约定执行，丙方及时向电力交易中心反馈甲方、乙方的电费收付情况。</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6.3</w:t>
      </w:r>
      <w:r>
        <w:rPr>
          <w:rFonts w:asciiTheme="minorEastAsia" w:hAnsiTheme="minorEastAsia" w:eastAsiaTheme="minorEastAsia"/>
          <w:sz w:val="28"/>
          <w:szCs w:val="28"/>
        </w:rPr>
        <w:t>丙方委托其下属供电</w:t>
      </w:r>
      <w:r>
        <w:rPr>
          <w:rFonts w:hint="eastAsia" w:asciiTheme="minorEastAsia" w:hAnsiTheme="minorEastAsia" w:eastAsiaTheme="minorEastAsia"/>
          <w:sz w:val="28"/>
          <w:szCs w:val="28"/>
        </w:rPr>
        <w:t>企业</w:t>
      </w:r>
      <w:r>
        <w:rPr>
          <w:rFonts w:asciiTheme="minorEastAsia" w:hAnsiTheme="minorEastAsia" w:eastAsiaTheme="minorEastAsia"/>
          <w:sz w:val="28"/>
          <w:szCs w:val="28"/>
        </w:rPr>
        <w:t>完成对甲方的计量、抄表、电量结算和电费收取等相关事宜，对此甲方予以认可。</w:t>
      </w:r>
    </w:p>
    <w:p>
      <w:pPr>
        <w:keepNext w:val="0"/>
        <w:keepLines w:val="0"/>
        <w:pageBreakBefore w:val="0"/>
        <w:kinsoku/>
        <w:wordWrap/>
        <w:overflowPunct/>
        <w:topLinePunct w:val="0"/>
        <w:autoSpaceDE/>
        <w:autoSpaceDN/>
        <w:bidi w:val="0"/>
        <w:spacing w:line="240" w:lineRule="auto"/>
        <w:ind w:firstLine="560"/>
        <w:textAlignment w:val="auto"/>
      </w:pP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甲方电费结算账号及相关材料（包括电费结算函、发票开票信息等）应于本合同签订之日起15个工作日内以书面形式提供给</w:t>
      </w:r>
      <w:r>
        <w:rPr>
          <w:rFonts w:hint="eastAsia" w:asciiTheme="minorEastAsia" w:hAnsiTheme="minorEastAsia" w:eastAsiaTheme="minorEastAsia"/>
          <w:sz w:val="28"/>
          <w:szCs w:val="28"/>
          <w:lang w:val="en-US" w:eastAsia="zh-CN"/>
        </w:rPr>
        <w:t>丙</w:t>
      </w:r>
      <w:r>
        <w:rPr>
          <w:rFonts w:hint="eastAsia" w:asciiTheme="minorEastAsia" w:hAnsiTheme="minorEastAsia" w:eastAsiaTheme="minorEastAsia"/>
          <w:sz w:val="28"/>
          <w:szCs w:val="28"/>
        </w:rPr>
        <w:t>方。若后续电费结算账号发生变更，甲方应于当月15日前以书面形式通知</w:t>
      </w:r>
      <w:r>
        <w:rPr>
          <w:rFonts w:hint="eastAsia" w:asciiTheme="minorEastAsia" w:hAnsiTheme="minorEastAsia" w:eastAsiaTheme="minorEastAsia"/>
          <w:sz w:val="28"/>
          <w:szCs w:val="28"/>
          <w:lang w:val="en-US" w:eastAsia="zh-CN"/>
        </w:rPr>
        <w:t>丙</w:t>
      </w:r>
      <w:r>
        <w:rPr>
          <w:rFonts w:hint="eastAsia" w:asciiTheme="minorEastAsia" w:hAnsiTheme="minorEastAsia" w:eastAsiaTheme="minorEastAsia"/>
          <w:sz w:val="28"/>
          <w:szCs w:val="28"/>
        </w:rPr>
        <w:t>方，甲方对所提供的电费结算账号及相关材料信息的真实性、准确性和合法性负责。</w:t>
      </w:r>
    </w:p>
    <w:p>
      <w:pPr>
        <w:keepNext w:val="0"/>
        <w:keepLines w:val="0"/>
        <w:pageBreakBefore w:val="0"/>
        <w:kinsoku/>
        <w:wordWrap/>
        <w:overflowPunct/>
        <w:topLinePunct w:val="0"/>
        <w:autoSpaceDE/>
        <w:autoSpaceDN/>
        <w:bidi w:val="0"/>
        <w:spacing w:line="240" w:lineRule="auto"/>
        <w:ind w:firstLine="56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6.5本合同执行周期内，若国家或自治区相关政策发生变化，合同各方应按照相关规定重新确定电费结算和支付条款。</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54" w:name="_Toc10278"/>
      <w:bookmarkStart w:id="55" w:name="_Toc28828"/>
      <w:bookmarkStart w:id="56" w:name="_Toc15235"/>
      <w:bookmarkStart w:id="57" w:name="_Toc18029"/>
      <w:bookmarkStart w:id="58" w:name="_Toc27902"/>
      <w:bookmarkStart w:id="59" w:name="_Toc8986"/>
      <w:bookmarkStart w:id="60" w:name="_Toc22785"/>
      <w:bookmarkStart w:id="61" w:name="_Toc18507"/>
      <w:bookmarkStart w:id="62" w:name="_Toc11808"/>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合同变更</w:t>
      </w:r>
      <w:bookmarkEnd w:id="54"/>
      <w:bookmarkEnd w:id="55"/>
      <w:bookmarkEnd w:id="56"/>
      <w:bookmarkEnd w:id="57"/>
      <w:bookmarkEnd w:id="58"/>
      <w:bookmarkEnd w:id="59"/>
      <w:bookmarkEnd w:id="60"/>
      <w:bookmarkEnd w:id="61"/>
      <w:bookmarkEnd w:id="62"/>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1本合同的任何修改、补充或变更必须以书面的形式进行，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加</w:t>
      </w:r>
      <w:r>
        <w:rPr>
          <w:rFonts w:hint="eastAsia" w:asciiTheme="minorEastAsia" w:hAnsiTheme="minorEastAsia" w:eastAsiaTheme="minorEastAsia"/>
          <w:sz w:val="28"/>
          <w:szCs w:val="28"/>
        </w:rPr>
        <w:t>盖</w:t>
      </w:r>
      <w:r>
        <w:rPr>
          <w:rFonts w:hint="eastAsia" w:asciiTheme="minorEastAsia" w:hAnsiTheme="minorEastAsia" w:eastAsiaTheme="minorEastAsia"/>
          <w:sz w:val="28"/>
          <w:szCs w:val="28"/>
          <w:lang w:eastAsia="zh-CN"/>
        </w:rPr>
        <w:t>公</w:t>
      </w:r>
      <w:r>
        <w:rPr>
          <w:rFonts w:hint="eastAsia" w:asciiTheme="minorEastAsia" w:hAnsiTheme="minorEastAsia" w:eastAsiaTheme="minorEastAsia"/>
          <w:sz w:val="28"/>
          <w:szCs w:val="28"/>
        </w:rPr>
        <w:t>章</w:t>
      </w:r>
      <w:r>
        <w:rPr>
          <w:rFonts w:asciiTheme="minorEastAsia" w:hAnsiTheme="minorEastAsia" w:eastAsiaTheme="minorEastAsia"/>
          <w:sz w:val="28"/>
          <w:szCs w:val="28"/>
        </w:rPr>
        <w:t>后方为有效。</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2因国家法律、法规发生变化或者政府</w:t>
      </w:r>
      <w:r>
        <w:rPr>
          <w:rFonts w:hint="eastAsia" w:asciiTheme="minorEastAsia" w:hAnsiTheme="minorEastAsia" w:eastAsiaTheme="minorEastAsia"/>
          <w:sz w:val="28"/>
          <w:szCs w:val="28"/>
          <w:lang w:eastAsia="zh-CN"/>
        </w:rPr>
        <w:t>主管</w:t>
      </w:r>
      <w:r>
        <w:rPr>
          <w:rFonts w:asciiTheme="minorEastAsia" w:hAnsiTheme="minorEastAsia" w:eastAsiaTheme="minorEastAsia"/>
          <w:sz w:val="28"/>
          <w:szCs w:val="28"/>
        </w:rPr>
        <w:t>部门、</w:t>
      </w:r>
      <w:r>
        <w:rPr>
          <w:rFonts w:hint="eastAsia" w:ascii="宋体" w:hAnsi="宋体" w:eastAsia="宋体" w:cs="宋体"/>
          <w:color w:val="000000"/>
          <w:sz w:val="28"/>
          <w:szCs w:val="28"/>
        </w:rPr>
        <w:t>能源</w:t>
      </w:r>
      <w:r>
        <w:rPr>
          <w:rFonts w:asciiTheme="minorEastAsia" w:hAnsiTheme="minorEastAsia" w:eastAsiaTheme="minorEastAsia"/>
          <w:sz w:val="28"/>
          <w:szCs w:val="28"/>
        </w:rPr>
        <w:t>监管机构出台有关规定、规则，</w:t>
      </w:r>
      <w:r>
        <w:rPr>
          <w:rFonts w:hint="eastAsia" w:asciiTheme="minorEastAsia" w:hAnsiTheme="minorEastAsia" w:eastAsiaTheme="minorEastAsia"/>
          <w:sz w:val="28"/>
          <w:szCs w:val="28"/>
          <w:lang w:eastAsia="zh-CN"/>
        </w:rPr>
        <w:t>或电力交易中心</w:t>
      </w:r>
      <w:r>
        <w:rPr>
          <w:rFonts w:hint="eastAsia" w:asciiTheme="minorEastAsia" w:hAnsiTheme="minorEastAsia" w:eastAsiaTheme="minorEastAsia"/>
          <w:sz w:val="28"/>
          <w:szCs w:val="28"/>
          <w:lang w:val="en-US" w:eastAsia="zh-CN"/>
        </w:rPr>
        <w:t>执行</w:t>
      </w:r>
      <w:r>
        <w:rPr>
          <w:rFonts w:hint="eastAsia" w:asciiTheme="minorEastAsia" w:hAnsiTheme="minorEastAsia" w:eastAsiaTheme="minorEastAsia"/>
          <w:sz w:val="28"/>
          <w:szCs w:val="28"/>
          <w:lang w:eastAsia="zh-CN"/>
        </w:rPr>
        <w:t>政府部门、监管机构的有关文件规定，导致各方不能正常履行合同约定时，</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应</w:t>
      </w:r>
      <w:r>
        <w:rPr>
          <w:rFonts w:hint="eastAsia" w:asciiTheme="minorEastAsia" w:hAnsiTheme="minorEastAsia" w:eastAsiaTheme="minorEastAsia"/>
          <w:sz w:val="28"/>
          <w:szCs w:val="28"/>
        </w:rPr>
        <w:t>对本合同作相应变更至符合相应法律、法规、规定或规则等。</w:t>
      </w:r>
    </w:p>
    <w:p>
      <w:pPr>
        <w:pStyle w:val="7"/>
        <w:keepNext w:val="0"/>
        <w:keepLines w:val="0"/>
        <w:pageBreakBefore w:val="0"/>
        <w:kinsoku/>
        <w:wordWrap/>
        <w:overflowPunct/>
        <w:topLinePunct w:val="0"/>
        <w:autoSpaceDE/>
        <w:autoSpaceDN/>
        <w:bidi w:val="0"/>
        <w:spacing w:line="240" w:lineRule="auto"/>
        <w:ind w:firstLine="2923" w:firstLineChars="1040"/>
        <w:jc w:val="both"/>
        <w:textAlignment w:val="auto"/>
        <w:rPr>
          <w:rFonts w:hint="eastAsia" w:asciiTheme="minorEastAsia" w:hAnsiTheme="minorEastAsia" w:eastAsiaTheme="minorEastAsia"/>
          <w:sz w:val="28"/>
          <w:szCs w:val="28"/>
          <w:lang w:eastAsia="zh-CN"/>
        </w:rPr>
      </w:pPr>
      <w:bookmarkStart w:id="63" w:name="_Toc3218"/>
      <w:bookmarkStart w:id="64" w:name="_Toc8022"/>
      <w:bookmarkStart w:id="65" w:name="_Toc4051"/>
      <w:bookmarkStart w:id="66" w:name="_Toc13204"/>
      <w:bookmarkStart w:id="67" w:name="_Toc7431"/>
      <w:bookmarkStart w:id="68" w:name="_Toc25980"/>
      <w:bookmarkStart w:id="69" w:name="_Toc31434"/>
      <w:bookmarkStart w:id="70" w:name="_Toc3451"/>
      <w:bookmarkStart w:id="71" w:name="_Toc20447"/>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bookmarkEnd w:id="63"/>
      <w:bookmarkEnd w:id="64"/>
      <w:bookmarkEnd w:id="65"/>
      <w:bookmarkEnd w:id="66"/>
      <w:bookmarkEnd w:id="67"/>
      <w:bookmarkEnd w:id="68"/>
      <w:bookmarkEnd w:id="69"/>
      <w:bookmarkEnd w:id="70"/>
      <w:bookmarkEnd w:id="71"/>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本合同一经签订，任一方均不得以电价波动、客户销户、增容、减容、暂停、改类等为由单方擅自变更合同约定，拒绝履行合同义务。任一方</w:t>
      </w:r>
      <w:r>
        <w:rPr>
          <w:rFonts w:asciiTheme="minorEastAsia" w:hAnsiTheme="minorEastAsia" w:eastAsiaTheme="minorEastAsia"/>
          <w:sz w:val="28"/>
          <w:szCs w:val="28"/>
        </w:rPr>
        <w:t>违反本合同约定条款视为违约，合同其他方有权要求违约方赔偿违约造成的经济损失。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2违约的处理原则</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2.1违约行为发生后，除非任一守约方提出书面要求解除合同，否则违约方应继续履行合同。</w:t>
      </w:r>
      <w:r>
        <w:rPr>
          <w:rFonts w:hint="eastAsia" w:asciiTheme="minorEastAsia" w:hAnsiTheme="minorEastAsia" w:eastAsiaTheme="minorEastAsia"/>
          <w:sz w:val="28"/>
          <w:szCs w:val="28"/>
        </w:rPr>
        <w:t>违约方应承担继续履行合同、支付违约金、采取补救措施等责任</w:t>
      </w:r>
      <w:r>
        <w:rPr>
          <w:rFonts w:asciiTheme="minorEastAsia" w:hAnsiTheme="minorEastAsia" w:eastAsiaTheme="minorEastAsia"/>
          <w:sz w:val="28"/>
          <w:szCs w:val="28"/>
        </w:rPr>
        <w:t>。</w:t>
      </w:r>
      <w:r>
        <w:rPr>
          <w:rFonts w:hint="eastAsia" w:asciiTheme="minorEastAsia" w:hAnsiTheme="minorEastAsia" w:eastAsiaTheme="minorEastAsia"/>
          <w:sz w:val="28"/>
          <w:szCs w:val="28"/>
        </w:rPr>
        <w:t>在继续履约或者采取补救措施后，仍对守约方造成其他损失的，违约方应当赔偿损失。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2.2在本合同履行期限届满之前，</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明确表示或以自己的行为表明不履行合同义务的，</w:t>
      </w:r>
      <w:r>
        <w:rPr>
          <w:rFonts w:hint="eastAsia" w:asciiTheme="minorEastAsia" w:hAnsiTheme="minorEastAsia" w:eastAsiaTheme="minorEastAsia"/>
          <w:sz w:val="28"/>
          <w:szCs w:val="28"/>
          <w:lang w:eastAsia="zh-CN"/>
        </w:rPr>
        <w:t>其他方</w:t>
      </w:r>
      <w:r>
        <w:rPr>
          <w:rFonts w:asciiTheme="minorEastAsia" w:hAnsiTheme="minorEastAsia" w:eastAsiaTheme="minorEastAsia"/>
          <w:sz w:val="28"/>
          <w:szCs w:val="28"/>
        </w:rPr>
        <w:t>可在履行期限届满前解除合同并要求其承担相应的违约责任。</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u w:val="single"/>
          <w:lang w:val="en-US" w:eastAsia="zh-CN"/>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一方违约后，双方应采取适当的措施防止损失扩大，如果因没有采取适当的措施致使损失扩大的，守约方不得就扩大的损失要求违约方承担赔偿责任。</w:t>
      </w:r>
      <w:r>
        <w:rPr>
          <w:rFonts w:asciiTheme="minorEastAsia" w:hAnsiTheme="minorEastAsia" w:eastAsiaTheme="minorEastAsia"/>
          <w:sz w:val="28"/>
          <w:szCs w:val="28"/>
        </w:rPr>
        <w:t xml:space="preserve">  </w:t>
      </w:r>
    </w:p>
    <w:p>
      <w:pPr>
        <w:adjustRightInd/>
        <w:snapToGrid/>
        <w:spacing w:line="240" w:lineRule="auto"/>
        <w:ind w:firstLine="560" w:firstLineChars="200"/>
        <w:outlineLvl w:val="9"/>
        <w:rPr>
          <w:rFonts w:hint="eastAsia" w:asciiTheme="minorEastAsia" w:hAnsiTheme="minorEastAsia" w:eastAsiaTheme="minorEastAsia" w:cstheme="minorEastAsia"/>
          <w:snapToGrid/>
          <w:kern w:val="2"/>
          <w:sz w:val="28"/>
          <w:szCs w:val="28"/>
          <w:highlight w:val="none"/>
          <w:u w:val="none"/>
        </w:rPr>
      </w:pPr>
      <w:r>
        <w:rPr>
          <w:rFonts w:hint="eastAsia" w:asciiTheme="minorEastAsia" w:hAnsiTheme="minorEastAsia" w:eastAsiaTheme="minorEastAsia"/>
          <w:sz w:val="28"/>
          <w:szCs w:val="28"/>
          <w:lang w:val="en-US" w:eastAsia="zh-CN"/>
        </w:rPr>
        <w:t>8.3</w:t>
      </w:r>
      <w:r>
        <w:rPr>
          <w:rFonts w:hint="eastAsia" w:asciiTheme="minorEastAsia" w:hAnsiTheme="minorEastAsia" w:eastAsiaTheme="minorEastAsia" w:cstheme="minorEastAsia"/>
          <w:snapToGrid/>
          <w:kern w:val="2"/>
          <w:sz w:val="28"/>
          <w:szCs w:val="28"/>
          <w:highlight w:val="none"/>
          <w:u w:val="none"/>
        </w:rPr>
        <w:t>除本合同其他各章约定以外，</w:t>
      </w:r>
      <w:r>
        <w:rPr>
          <w:rFonts w:hint="eastAsia" w:asciiTheme="minorEastAsia" w:hAnsiTheme="minorEastAsia" w:eastAsiaTheme="minorEastAsia" w:cstheme="minorEastAsia"/>
          <w:snapToGrid/>
          <w:kern w:val="2"/>
          <w:sz w:val="28"/>
          <w:szCs w:val="28"/>
          <w:highlight w:val="none"/>
          <w:u w:val="none"/>
          <w:lang w:val="en-US" w:eastAsia="zh-CN"/>
        </w:rPr>
        <w:t>各</w:t>
      </w:r>
      <w:r>
        <w:rPr>
          <w:rFonts w:hint="eastAsia" w:asciiTheme="minorEastAsia" w:hAnsiTheme="minorEastAsia" w:eastAsiaTheme="minorEastAsia" w:cstheme="minorEastAsia"/>
          <w:snapToGrid/>
          <w:kern w:val="2"/>
          <w:sz w:val="28"/>
          <w:szCs w:val="28"/>
          <w:highlight w:val="none"/>
          <w:u w:val="none"/>
        </w:rPr>
        <w:t>方约定：</w:t>
      </w:r>
    </w:p>
    <w:p>
      <w:pPr>
        <w:adjustRightInd/>
        <w:snapToGrid/>
        <w:spacing w:line="240" w:lineRule="auto"/>
        <w:ind w:firstLine="560" w:firstLineChars="200"/>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rPr>
        <w:t>甲方应当承担的违约责任还包括：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adjustRightInd/>
        <w:snapToGrid/>
        <w:spacing w:line="240" w:lineRule="auto"/>
        <w:ind w:firstLine="560" w:firstLineChars="200"/>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rPr>
        <w:t>乙方应当承担的违约责任还包括：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adjustRightInd/>
        <w:snapToGrid/>
        <w:spacing w:line="240" w:lineRule="auto"/>
        <w:ind w:firstLine="560" w:firstLineChars="200"/>
        <w:outlineLvl w:val="9"/>
        <w:rPr>
          <w:rFonts w:hint="eastAsia"/>
          <w:lang w:val="en-US" w:eastAsia="zh-CN"/>
        </w:rPr>
      </w:pPr>
      <w:r>
        <w:rPr>
          <w:rFonts w:hint="eastAsia" w:asciiTheme="minorEastAsia" w:hAnsiTheme="minorEastAsia" w:eastAsiaTheme="minorEastAsia" w:cstheme="minorEastAsia"/>
          <w:snapToGrid/>
          <w:kern w:val="2"/>
          <w:sz w:val="28"/>
          <w:szCs w:val="28"/>
          <w:highlight w:val="none"/>
          <w:u w:val="none"/>
          <w:lang w:val="en-US" w:eastAsia="zh-CN"/>
        </w:rPr>
        <w:t>丙</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8.4除另有约定外，一旦发生任一方未能履行本合同项下的任何义务的情况，守约方可向违约方发出有关违约的书面通知，如果在通知发出后30日内，违约方仍未纠正其违约的，应承担相应的违约责任。</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72" w:name="_Toc1629"/>
      <w:bookmarkStart w:id="73" w:name="_Toc27657"/>
      <w:bookmarkStart w:id="74" w:name="_Toc21549"/>
      <w:bookmarkStart w:id="75" w:name="_Toc31327"/>
      <w:bookmarkStart w:id="76" w:name="_Toc22536"/>
      <w:bookmarkStart w:id="77" w:name="_Toc17020"/>
      <w:bookmarkStart w:id="78" w:name="_Toc18808"/>
      <w:bookmarkStart w:id="79" w:name="_Toc17668"/>
      <w:bookmarkStart w:id="80" w:name="_Toc2612"/>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合同解除</w:t>
      </w:r>
      <w:bookmarkEnd w:id="72"/>
      <w:bookmarkEnd w:id="73"/>
      <w:bookmarkEnd w:id="74"/>
      <w:bookmarkEnd w:id="75"/>
      <w:bookmarkEnd w:id="76"/>
      <w:bookmarkEnd w:id="77"/>
      <w:bookmarkEnd w:id="78"/>
      <w:bookmarkEnd w:id="79"/>
      <w:bookmarkEnd w:id="80"/>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1可以单方解除的情形</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如</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发</w:t>
      </w:r>
      <w:r>
        <w:rPr>
          <w:rFonts w:hint="eastAsia" w:asciiTheme="minorEastAsia" w:hAnsiTheme="minorEastAsia" w:eastAsiaTheme="minorEastAsia"/>
          <w:sz w:val="28"/>
          <w:szCs w:val="28"/>
          <w:lang w:eastAsia="zh-CN"/>
        </w:rPr>
        <w:t>生</w:t>
      </w:r>
      <w:r>
        <w:rPr>
          <w:rFonts w:hint="eastAsia" w:asciiTheme="minorEastAsia" w:hAnsiTheme="minorEastAsia" w:eastAsiaTheme="minorEastAsia"/>
          <w:sz w:val="28"/>
          <w:szCs w:val="28"/>
        </w:rPr>
        <w:t>下列情形之一的</w:t>
      </w:r>
      <w:r>
        <w:rPr>
          <w:rFonts w:asciiTheme="minorEastAsia" w:hAnsiTheme="minorEastAsia" w:eastAsiaTheme="minorEastAsia"/>
          <w:sz w:val="28"/>
          <w:szCs w:val="28"/>
        </w:rPr>
        <w:t>，则</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方有权</w:t>
      </w:r>
      <w:r>
        <w:rPr>
          <w:rFonts w:hint="eastAsia" w:asciiTheme="minorEastAsia" w:hAnsiTheme="minorEastAsia" w:eastAsiaTheme="minorEastAsia"/>
          <w:sz w:val="28"/>
          <w:szCs w:val="28"/>
          <w:lang w:eastAsia="zh-CN"/>
        </w:rPr>
        <w:t>在发出解除通知后</w:t>
      </w:r>
      <w:r>
        <w:rPr>
          <w:rFonts w:hint="eastAsia" w:asciiTheme="minorEastAsia" w:hAnsiTheme="minorEastAsia" w:eastAsiaTheme="minorEastAsia"/>
          <w:sz w:val="28"/>
          <w:szCs w:val="28"/>
        </w:rPr>
        <w:t>解除本合同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除另有约定外，合同任一方未及时支付本合同项下的任何到期应付款项，且未能在收到相关方书面通知后</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30</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日内得到纠正</w:t>
      </w:r>
      <w:r>
        <w:rPr>
          <w:rFonts w:hint="eastAsia" w:asciiTheme="minorEastAsia" w:hAnsiTheme="minorEastAsia" w:eastAsiaTheme="minorEastAsia"/>
          <w:sz w:val="28"/>
          <w:szCs w:val="28"/>
        </w:rPr>
        <w:t>的</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7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丙方持续</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w:t>
      </w:r>
      <w:r>
        <w:rPr>
          <w:rFonts w:hint="eastAsia" w:asciiTheme="minorEastAsia" w:hAnsiTheme="minorEastAsia" w:eastAsiaTheme="minorEastAsia"/>
          <w:sz w:val="28"/>
          <w:szCs w:val="28"/>
          <w:u w:val="single"/>
        </w:rPr>
        <w:t xml:space="preserve">0 </w:t>
      </w:r>
      <w:r>
        <w:rPr>
          <w:rFonts w:asciiTheme="minorEastAsia" w:hAnsiTheme="minorEastAsia" w:eastAsiaTheme="minorEastAsia"/>
          <w:sz w:val="28"/>
          <w:szCs w:val="28"/>
        </w:rPr>
        <w:t>日不能按照本合</w:t>
      </w:r>
      <w:r>
        <w:rPr>
          <w:rFonts w:hint="eastAsia" w:asciiTheme="minorEastAsia" w:hAnsiTheme="minorEastAsia" w:eastAsiaTheme="minorEastAsia"/>
          <w:sz w:val="28"/>
          <w:szCs w:val="28"/>
          <w:lang w:val="en-US" w:eastAsia="zh-CN"/>
        </w:rPr>
        <w:t>同</w:t>
      </w:r>
      <w:r>
        <w:rPr>
          <w:rFonts w:hint="eastAsia" w:asciiTheme="minorEastAsia" w:hAnsiTheme="minorEastAsia" w:eastAsiaTheme="minorEastAsia"/>
          <w:sz w:val="28"/>
          <w:szCs w:val="28"/>
        </w:rPr>
        <w:t>提供输配电服务</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一方被申请破产</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清算或被吊销营业执照</w:t>
      </w:r>
      <w:r>
        <w:rPr>
          <w:rFonts w:hint="eastAsia" w:asciiTheme="minorEastAsia" w:hAnsiTheme="minorEastAsia" w:eastAsiaTheme="minorEastAsia"/>
          <w:sz w:val="28"/>
          <w:szCs w:val="28"/>
        </w:rPr>
        <w:t>，导致无法履行本合同的</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7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一方</w:t>
      </w:r>
      <w:r>
        <w:rPr>
          <w:rFonts w:hint="eastAsia" w:asciiTheme="minorEastAsia" w:hAnsiTheme="minorEastAsia" w:eastAsiaTheme="minorEastAsia"/>
          <w:sz w:val="28"/>
          <w:szCs w:val="28"/>
        </w:rPr>
        <w:t>被其他企业兼并、重组</w:t>
      </w:r>
      <w:r>
        <w:rPr>
          <w:rFonts w:asciiTheme="minorEastAsia" w:hAnsiTheme="minorEastAsia" w:eastAsiaTheme="minorEastAsia"/>
          <w:sz w:val="28"/>
          <w:szCs w:val="28"/>
        </w:rPr>
        <w:t>或将其</w:t>
      </w:r>
      <w:r>
        <w:rPr>
          <w:rFonts w:hint="eastAsia" w:asciiTheme="minorEastAsia" w:hAnsiTheme="minorEastAsia" w:eastAsiaTheme="minorEastAsia"/>
          <w:sz w:val="28"/>
          <w:szCs w:val="28"/>
        </w:rPr>
        <w:t>全部或部分</w:t>
      </w:r>
      <w:r>
        <w:rPr>
          <w:rFonts w:asciiTheme="minorEastAsia" w:hAnsiTheme="minorEastAsia" w:eastAsiaTheme="minorEastAsia"/>
          <w:sz w:val="28"/>
          <w:szCs w:val="28"/>
        </w:rPr>
        <w:t>资产转移</w:t>
      </w:r>
      <w:r>
        <w:rPr>
          <w:rFonts w:hint="eastAsia" w:asciiTheme="minorEastAsia" w:hAnsiTheme="minorEastAsia" w:eastAsiaTheme="minorEastAsia"/>
          <w:sz w:val="28"/>
          <w:szCs w:val="28"/>
        </w:rPr>
        <w:t>至其他企业</w:t>
      </w:r>
      <w:r>
        <w:rPr>
          <w:rFonts w:asciiTheme="minorEastAsia" w:hAnsiTheme="minorEastAsia" w:eastAsiaTheme="minorEastAsia"/>
          <w:sz w:val="28"/>
          <w:szCs w:val="28"/>
        </w:rPr>
        <w:t>，而该存续的企业不能承担其在本合同项下的所有义务</w:t>
      </w:r>
      <w:r>
        <w:rPr>
          <w:rFonts w:hint="eastAsia" w:asciiTheme="minorEastAsia" w:hAnsiTheme="minorEastAsia" w:eastAsiaTheme="minorEastAsia"/>
          <w:sz w:val="28"/>
          <w:szCs w:val="28"/>
        </w:rPr>
        <w:t>的</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7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9.1.5一方被政府主管部门认定取消电力市场主体资格。</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2合同</w:t>
      </w:r>
      <w:r>
        <w:rPr>
          <w:rFonts w:hint="eastAsia" w:asciiTheme="minorEastAsia" w:hAnsiTheme="minorEastAsia" w:eastAsiaTheme="minorEastAsia"/>
          <w:sz w:val="28"/>
          <w:szCs w:val="28"/>
        </w:rPr>
        <w:t>解除</w:t>
      </w:r>
      <w:r>
        <w:rPr>
          <w:rFonts w:asciiTheme="minorEastAsia" w:hAnsiTheme="minorEastAsia" w:eastAsiaTheme="minorEastAsia"/>
          <w:sz w:val="28"/>
          <w:szCs w:val="28"/>
        </w:rPr>
        <w:t>的责任承担</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因违约行为导致合同解除的，除按本合同第</w:t>
      </w:r>
      <w:r>
        <w:rPr>
          <w:rFonts w:hint="eastAsia" w:asciiTheme="minorEastAsia" w:hAnsiTheme="minorEastAsia" w:eastAsiaTheme="minorEastAsia"/>
          <w:sz w:val="28"/>
          <w:szCs w:val="28"/>
          <w:lang w:val="en-US" w:eastAsia="zh-CN"/>
        </w:rPr>
        <w:t>8</w:t>
      </w:r>
      <w:r>
        <w:rPr>
          <w:rFonts w:hint="eastAsia" w:asciiTheme="minorEastAsia" w:hAnsiTheme="minorEastAsia" w:eastAsiaTheme="minorEastAsia"/>
          <w:sz w:val="28"/>
          <w:szCs w:val="28"/>
        </w:rPr>
        <w:t>章的约定承担违约责任外，还应承担下列责任：</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9.2.1</w:t>
      </w:r>
      <w:r>
        <w:rPr>
          <w:rFonts w:hint="eastAsia" w:asciiTheme="minorEastAsia" w:hAnsiTheme="minorEastAsia" w:eastAsiaTheme="minorEastAsia"/>
          <w:sz w:val="28"/>
          <w:szCs w:val="28"/>
        </w:rPr>
        <w:t>扣除</w:t>
      </w:r>
      <w:r>
        <w:rPr>
          <w:rFonts w:hint="eastAsia" w:asciiTheme="minorEastAsia" w:hAnsiTheme="minorEastAsia" w:eastAsiaTheme="minorEastAsia"/>
          <w:sz w:val="28"/>
          <w:szCs w:val="28"/>
          <w:lang w:eastAsia="zh-CN"/>
        </w:rPr>
        <w:t>其已实际</w:t>
      </w:r>
      <w:r>
        <w:rPr>
          <w:rFonts w:hint="eastAsia" w:asciiTheme="minorEastAsia" w:hAnsiTheme="minorEastAsia" w:eastAsiaTheme="minorEastAsia"/>
          <w:sz w:val="28"/>
          <w:szCs w:val="28"/>
        </w:rPr>
        <w:t>履行合同义务</w:t>
      </w:r>
      <w:r>
        <w:rPr>
          <w:rFonts w:hint="eastAsia" w:asciiTheme="minorEastAsia" w:hAnsiTheme="minorEastAsia" w:eastAsiaTheme="minorEastAsia"/>
          <w:sz w:val="28"/>
          <w:szCs w:val="28"/>
          <w:lang w:eastAsia="zh-CN"/>
        </w:rPr>
        <w:t>所</w:t>
      </w:r>
      <w:r>
        <w:rPr>
          <w:rFonts w:hint="eastAsia" w:asciiTheme="minorEastAsia" w:hAnsiTheme="minorEastAsia" w:eastAsiaTheme="minorEastAsia"/>
          <w:sz w:val="28"/>
          <w:szCs w:val="28"/>
        </w:rPr>
        <w:t>支出的必要费用；</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9.2.2</w:t>
      </w:r>
      <w:r>
        <w:rPr>
          <w:rFonts w:hint="eastAsia" w:asciiTheme="minorEastAsia" w:hAnsiTheme="minorEastAsia" w:eastAsiaTheme="minorEastAsia"/>
          <w:sz w:val="28"/>
          <w:szCs w:val="28"/>
        </w:rPr>
        <w:t>赔偿其他各方因解除本合同遭受的实际损失和预期利益损失。</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3</w:t>
      </w:r>
      <w:r>
        <w:rPr>
          <w:rFonts w:hint="eastAsia" w:asciiTheme="minorEastAsia" w:hAnsiTheme="minorEastAsia" w:eastAsiaTheme="minorEastAsia"/>
          <w:sz w:val="28"/>
          <w:szCs w:val="28"/>
        </w:rPr>
        <w:t>擅自解除的责任</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除本合同约定或法律规定的情形外，</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均不得擅自解除合同，</w:t>
      </w:r>
      <w:r>
        <w:rPr>
          <w:rFonts w:hint="eastAsia" w:asciiTheme="minorEastAsia" w:hAnsiTheme="minorEastAsia" w:eastAsiaTheme="minorEastAsia"/>
          <w:sz w:val="28"/>
          <w:szCs w:val="28"/>
        </w:rPr>
        <w:t>否则按</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2条的约定承担责任</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9.4 合同解除后应于</w:t>
      </w:r>
      <w:r>
        <w:rPr>
          <w:rFonts w:hint="eastAsia" w:asciiTheme="minorEastAsia" w:hAnsiTheme="minorEastAsia" w:eastAsiaTheme="minorEastAsia"/>
          <w:sz w:val="28"/>
          <w:szCs w:val="28"/>
          <w:u w:val="single"/>
          <w:lang w:val="en-US" w:eastAsia="zh-CN"/>
        </w:rPr>
        <w:t xml:space="preserve">  5  </w:t>
      </w:r>
      <w:r>
        <w:rPr>
          <w:rFonts w:hint="eastAsia" w:asciiTheme="minorEastAsia" w:hAnsiTheme="minorEastAsia" w:eastAsiaTheme="minorEastAsia"/>
          <w:sz w:val="28"/>
          <w:szCs w:val="28"/>
          <w:lang w:val="en-US" w:eastAsia="zh-CN"/>
        </w:rPr>
        <w:t>个工作日内书面告知电力交易中心。</w:t>
      </w:r>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81" w:name="_Toc30125"/>
      <w:bookmarkStart w:id="82" w:name="_Toc14628"/>
      <w:bookmarkStart w:id="83" w:name="_Toc5941"/>
      <w:bookmarkStart w:id="84" w:name="_Toc24242"/>
      <w:bookmarkStart w:id="85" w:name="_Toc16476"/>
      <w:bookmarkStart w:id="86" w:name="_Toc23121"/>
      <w:bookmarkStart w:id="87" w:name="_Toc9750"/>
      <w:bookmarkStart w:id="88" w:name="_Toc17870"/>
      <w:bookmarkStart w:id="89" w:name="_Toc26491"/>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0</w:t>
      </w:r>
      <w:r>
        <w:rPr>
          <w:rFonts w:asciiTheme="minorEastAsia" w:hAnsiTheme="minorEastAsia" w:eastAsiaTheme="minorEastAsia"/>
          <w:sz w:val="28"/>
          <w:szCs w:val="28"/>
        </w:rPr>
        <w:t>章　免责条款</w:t>
      </w:r>
      <w:bookmarkEnd w:id="81"/>
      <w:bookmarkEnd w:id="82"/>
      <w:bookmarkEnd w:id="83"/>
      <w:bookmarkEnd w:id="84"/>
      <w:bookmarkEnd w:id="85"/>
      <w:bookmarkEnd w:id="86"/>
      <w:bookmarkEnd w:id="87"/>
      <w:bookmarkEnd w:id="88"/>
      <w:bookmarkEnd w:id="89"/>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1不可抗力</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若不可抗力的发生完全或部分地妨碍合同任一方履行本合同项下的任何义务，则该方可暂停履行其义务，但前提是：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1.1</w:t>
      </w:r>
      <w:r>
        <w:rPr>
          <w:rFonts w:asciiTheme="minorEastAsia" w:hAnsiTheme="minorEastAsia" w:eastAsiaTheme="minorEastAsia"/>
          <w:sz w:val="28"/>
          <w:szCs w:val="28"/>
        </w:rPr>
        <w:t>暂停履行的范围和时间不超过消除不可抗力影响的合理需要；</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1.2</w:t>
      </w:r>
      <w:r>
        <w:rPr>
          <w:rFonts w:asciiTheme="minorEastAsia" w:hAnsiTheme="minorEastAsia" w:eastAsiaTheme="minorEastAsia"/>
          <w:sz w:val="28"/>
          <w:szCs w:val="28"/>
        </w:rPr>
        <w:t>受不可抗力影响的一方应继续履行本合同项下未受不可抗力影响的其他义务，包括所有到期付款的义务；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1.3</w:t>
      </w:r>
      <w:r>
        <w:rPr>
          <w:rFonts w:asciiTheme="minorEastAsia" w:hAnsiTheme="minorEastAsia" w:eastAsiaTheme="minorEastAsia"/>
          <w:sz w:val="28"/>
          <w:szCs w:val="28"/>
        </w:rPr>
        <w:t>一旦不可抗力结束，该方应尽快恢复履行本合同。</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2若任一方因不可抗力而不能履行本合同，则该方应尽快书面通知</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方。该通知书应说明不可抗力的发生日期和预计持续的时间、事件性质、对该方履行本合同的影响及该方为减少不可抗力影响所采取的措施。</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受不可抗力影响的一方应在不可抗力发生之日（如遇通讯中断，则自通讯恢复之日）起</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15</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日内向其</w:t>
      </w:r>
      <w:r>
        <w:rPr>
          <w:rFonts w:hint="eastAsia" w:asciiTheme="minorEastAsia" w:hAnsiTheme="minorEastAsia" w:eastAsiaTheme="minorEastAsia"/>
          <w:sz w:val="28"/>
          <w:szCs w:val="28"/>
          <w:lang w:eastAsia="zh-CN"/>
        </w:rPr>
        <w:t>他</w:t>
      </w:r>
      <w:r>
        <w:rPr>
          <w:rFonts w:asciiTheme="minorEastAsia" w:hAnsiTheme="minorEastAsia" w:eastAsiaTheme="minorEastAsia"/>
          <w:sz w:val="28"/>
          <w:szCs w:val="28"/>
        </w:rPr>
        <w:t>方提供一份由不可抗力发生地公证机构出具的证明文件</w:t>
      </w:r>
      <w:r>
        <w:rPr>
          <w:rFonts w:hint="eastAsia" w:asciiTheme="minorEastAsia" w:hAnsiTheme="minorEastAsia" w:eastAsiaTheme="minorEastAsia"/>
          <w:sz w:val="28"/>
          <w:szCs w:val="28"/>
        </w:rPr>
        <w:t>，并送达至其他方</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3受不可抗力影响的一方应采取合理的措施，以减少因不可抗力给合同其他</w:t>
      </w:r>
      <w:r>
        <w:rPr>
          <w:rFonts w:hint="eastAsia" w:asciiTheme="minorEastAsia" w:hAnsiTheme="minorEastAsia" w:eastAsiaTheme="minorEastAsia"/>
          <w:sz w:val="28"/>
          <w:szCs w:val="28"/>
        </w:rPr>
        <w:t>各</w:t>
      </w:r>
      <w:r>
        <w:rPr>
          <w:rFonts w:asciiTheme="minorEastAsia" w:hAnsiTheme="minorEastAsia" w:eastAsiaTheme="minorEastAsia"/>
          <w:sz w:val="28"/>
          <w:szCs w:val="28"/>
        </w:rPr>
        <w:t>方带来的损失。</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应及时协商制定并实施补救计划及合理的替代措施以减少或消除不可抗力的影响。</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如果受不可抗力影响的一方未能</w:t>
      </w:r>
      <w:r>
        <w:rPr>
          <w:rFonts w:hint="eastAsia" w:asciiTheme="minorEastAsia" w:hAnsiTheme="minorEastAsia" w:eastAsiaTheme="minorEastAsia"/>
          <w:sz w:val="28"/>
          <w:szCs w:val="28"/>
        </w:rPr>
        <w:t>履行其应</w:t>
      </w:r>
      <w:r>
        <w:rPr>
          <w:rFonts w:hint="eastAsia" w:asciiTheme="minorEastAsia" w:hAnsiTheme="minorEastAsia" w:eastAsiaTheme="minorEastAsia"/>
          <w:sz w:val="28"/>
          <w:szCs w:val="28"/>
          <w:lang w:eastAsia="zh-CN"/>
        </w:rPr>
        <w:t>尽</w:t>
      </w:r>
      <w:r>
        <w:rPr>
          <w:rFonts w:hint="eastAsia" w:asciiTheme="minorEastAsia" w:hAnsiTheme="minorEastAsia" w:eastAsiaTheme="minorEastAsia"/>
          <w:sz w:val="28"/>
          <w:szCs w:val="28"/>
        </w:rPr>
        <w:t>义务</w:t>
      </w:r>
      <w:r>
        <w:rPr>
          <w:rFonts w:asciiTheme="minorEastAsia" w:hAnsiTheme="minorEastAsia" w:eastAsiaTheme="minorEastAsia"/>
          <w:sz w:val="28"/>
          <w:szCs w:val="28"/>
        </w:rPr>
        <w:t>采取合理措施</w:t>
      </w:r>
      <w:r>
        <w:rPr>
          <w:rFonts w:hint="eastAsia" w:asciiTheme="minorEastAsia" w:hAnsiTheme="minorEastAsia" w:eastAsiaTheme="minorEastAsia"/>
          <w:sz w:val="28"/>
          <w:szCs w:val="28"/>
        </w:rPr>
        <w:t>导致损失扩大</w:t>
      </w:r>
      <w:r>
        <w:rPr>
          <w:rFonts w:asciiTheme="minorEastAsia" w:hAnsiTheme="minorEastAsia" w:eastAsiaTheme="minorEastAsia"/>
          <w:sz w:val="28"/>
          <w:szCs w:val="28"/>
        </w:rPr>
        <w:t>，则该方应承担由此扩大</w:t>
      </w:r>
      <w:r>
        <w:rPr>
          <w:rFonts w:hint="eastAsia" w:asciiTheme="minorEastAsia" w:hAnsiTheme="minorEastAsia" w:eastAsiaTheme="minorEastAsia"/>
          <w:sz w:val="28"/>
          <w:szCs w:val="28"/>
        </w:rPr>
        <w:t>造成</w:t>
      </w:r>
      <w:r>
        <w:rPr>
          <w:rFonts w:asciiTheme="minorEastAsia" w:hAnsiTheme="minorEastAsia" w:eastAsiaTheme="minorEastAsia"/>
          <w:sz w:val="28"/>
          <w:szCs w:val="28"/>
        </w:rPr>
        <w:t>的损失。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4</w:t>
      </w:r>
      <w:r>
        <w:rPr>
          <w:rFonts w:hint="eastAsia" w:asciiTheme="minorEastAsia" w:hAnsiTheme="minorEastAsia" w:eastAsiaTheme="minorEastAsia"/>
          <w:sz w:val="28"/>
          <w:szCs w:val="28"/>
        </w:rPr>
        <w:t>若发生不可抗力，三方首先应尽量调整余下的购售电和生产计划，尽可能使结算电量接近合同电量。</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5不可抗力造成的合同解除</w:t>
      </w:r>
    </w:p>
    <w:p>
      <w:pPr>
        <w:keepNext w:val="0"/>
        <w:keepLines w:val="0"/>
        <w:pageBreakBefore w:val="0"/>
        <w:kinsoku/>
        <w:wordWrap/>
        <w:overflowPunct/>
        <w:topLinePunct w:val="0"/>
        <w:autoSpaceDE/>
        <w:autoSpaceDN/>
        <w:bidi w:val="0"/>
        <w:spacing w:line="240" w:lineRule="auto"/>
        <w:ind w:firstLine="560"/>
        <w:textAlignment w:val="auto"/>
        <w:rPr>
          <w:rFonts w:hint="eastAsia" w:cs="Times New Roman" w:asciiTheme="minorEastAsia" w:hAnsiTheme="minorEastAsia" w:eastAsiaTheme="minorEastAsia"/>
          <w:b w:val="0"/>
          <w:bCs w:val="0"/>
          <w:kern w:val="2"/>
          <w:sz w:val="28"/>
          <w:szCs w:val="28"/>
          <w:lang w:val="en-US" w:eastAsia="zh-CN" w:bidi="ar-SA"/>
        </w:rPr>
      </w:pPr>
      <w:r>
        <w:rPr>
          <w:rFonts w:hint="eastAsia" w:cs="Times New Roman" w:asciiTheme="minorEastAsia" w:hAnsiTheme="minorEastAsia" w:eastAsiaTheme="minorEastAsia"/>
          <w:b w:val="0"/>
          <w:bCs w:val="0"/>
          <w:kern w:val="2"/>
          <w:sz w:val="28"/>
          <w:szCs w:val="28"/>
          <w:lang w:val="en-US" w:eastAsia="zh-CN" w:bidi="ar-SA"/>
        </w:rPr>
        <w:t>因不可抗力导致任何一方无法履行其合同义务持续超过30日的，三方应协商决定继续履行本合同的条件或解除本合同。不可抗力发生之日起45日内，三方不能就继续履行合同的条件或解除本合同达成一致意见，任何一方有权书面通知另外两方解除本合同，并报能源监管机构和政府主管部门备案。</w:t>
      </w:r>
      <w:bookmarkStart w:id="90" w:name="_Toc2224"/>
      <w:bookmarkStart w:id="91" w:name="_Toc22339"/>
      <w:bookmarkStart w:id="92" w:name="_Toc5696"/>
      <w:bookmarkStart w:id="93" w:name="_Toc29567"/>
      <w:bookmarkStart w:id="94" w:name="_Toc11690"/>
      <w:bookmarkStart w:id="95" w:name="_Toc3371"/>
      <w:bookmarkStart w:id="96" w:name="_Toc15109"/>
      <w:bookmarkStart w:id="97" w:name="_Toc4971"/>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lang w:val="en-US" w:eastAsia="zh-CN"/>
        </w:rPr>
      </w:pPr>
      <w:bookmarkStart w:id="98" w:name="_Toc28696"/>
      <w:r>
        <w:rPr>
          <w:rFonts w:asciiTheme="minorEastAsia" w:hAnsiTheme="minorEastAsia" w:eastAsiaTheme="minorEastAsia"/>
          <w:sz w:val="28"/>
          <w:szCs w:val="28"/>
          <w:lang w:val="en-US" w:eastAsia="zh-CN"/>
        </w:rPr>
        <w:t>第1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lang w:val="en-US" w:eastAsia="zh-CN"/>
        </w:rPr>
        <w:t>章</w:t>
      </w:r>
      <w:r>
        <w:rPr>
          <w:rFonts w:hint="eastAsia" w:asciiTheme="minorEastAsia" w:hAnsiTheme="minorEastAsia" w:eastAsiaTheme="minorEastAsia"/>
          <w:sz w:val="28"/>
          <w:szCs w:val="28"/>
          <w:lang w:val="en-US" w:eastAsia="zh-CN"/>
        </w:rPr>
        <w:t xml:space="preserve">  </w:t>
      </w:r>
      <w:r>
        <w:rPr>
          <w:rFonts w:asciiTheme="minorEastAsia" w:hAnsiTheme="minorEastAsia" w:eastAsiaTheme="minorEastAsia"/>
          <w:sz w:val="28"/>
          <w:szCs w:val="28"/>
          <w:lang w:val="en-US" w:eastAsia="zh-CN"/>
        </w:rPr>
        <w:t>争议的解决</w:t>
      </w:r>
      <w:bookmarkEnd w:id="90"/>
      <w:bookmarkEnd w:id="91"/>
      <w:bookmarkEnd w:id="92"/>
      <w:bookmarkEnd w:id="93"/>
      <w:bookmarkEnd w:id="94"/>
      <w:bookmarkEnd w:id="95"/>
      <w:bookmarkEnd w:id="96"/>
      <w:bookmarkEnd w:id="97"/>
      <w:bookmarkEnd w:id="98"/>
    </w:p>
    <w:p>
      <w:pPr>
        <w:keepNext w:val="0"/>
        <w:keepLines w:val="0"/>
        <w:pageBreakBefore w:val="0"/>
        <w:kinsoku/>
        <w:wordWrap/>
        <w:overflowPunct/>
        <w:topLinePunct w:val="0"/>
        <w:autoSpaceDE/>
        <w:autoSpaceDN/>
        <w:bidi w:val="0"/>
        <w:spacing w:line="240" w:lineRule="auto"/>
        <w:ind w:firstLine="560"/>
        <w:textAlignment w:val="auto"/>
        <w:rPr>
          <w:rFonts w:hint="eastAsia" w:cs="Times New Roman" w:asciiTheme="minorEastAsia" w:hAnsiTheme="minorEastAsia" w:eastAsiaTheme="minorEastAsia"/>
          <w:b w:val="0"/>
          <w:bCs w:val="0"/>
          <w:kern w:val="2"/>
          <w:sz w:val="28"/>
          <w:szCs w:val="28"/>
          <w:lang w:val="en-US" w:eastAsia="zh-CN" w:bidi="ar-SA"/>
        </w:rPr>
      </w:pPr>
      <w:r>
        <w:rPr>
          <w:rFonts w:hint="eastAsia" w:cs="Times New Roman" w:asciiTheme="minorEastAsia" w:hAnsiTheme="minorEastAsia" w:eastAsiaTheme="minorEastAsia"/>
          <w:b w:val="0"/>
          <w:bCs w:val="0"/>
          <w:kern w:val="2"/>
          <w:sz w:val="28"/>
          <w:szCs w:val="28"/>
          <w:lang w:val="en-US" w:eastAsia="zh-CN" w:bidi="ar-SA"/>
        </w:rPr>
        <w:t>11.1凡因执行本合同所发生的与本合同有关的一切争议，各方应协商解决，也可提请能源监管机构和政府主管部门进行调解。协商或调解不成的，任一方可依法向合同签订地有管辖权的人民法院提请诉讼。</w:t>
      </w:r>
    </w:p>
    <w:p>
      <w:pPr>
        <w:keepNext w:val="0"/>
        <w:keepLines w:val="0"/>
        <w:pageBreakBefore w:val="0"/>
        <w:kinsoku/>
        <w:wordWrap/>
        <w:overflowPunct/>
        <w:topLinePunct w:val="0"/>
        <w:autoSpaceDE/>
        <w:autoSpaceDN/>
        <w:bidi w:val="0"/>
        <w:spacing w:line="240" w:lineRule="auto"/>
        <w:ind w:firstLine="560"/>
        <w:textAlignment w:val="auto"/>
        <w:rPr>
          <w:rFonts w:hint="eastAsia" w:cs="Times New Roman" w:asciiTheme="minorEastAsia" w:hAnsiTheme="minorEastAsia" w:eastAsiaTheme="minorEastAsia"/>
          <w:b w:val="0"/>
          <w:bCs w:val="0"/>
          <w:kern w:val="2"/>
          <w:sz w:val="28"/>
          <w:szCs w:val="28"/>
          <w:lang w:val="en-US" w:eastAsia="zh-CN" w:bidi="ar-SA"/>
        </w:rPr>
      </w:pPr>
      <w:r>
        <w:rPr>
          <w:rFonts w:hint="eastAsia" w:cs="Times New Roman" w:asciiTheme="minorEastAsia" w:hAnsiTheme="minorEastAsia" w:eastAsiaTheme="minorEastAsia"/>
          <w:b w:val="0"/>
          <w:bCs w:val="0"/>
          <w:kern w:val="2"/>
          <w:sz w:val="28"/>
          <w:szCs w:val="28"/>
          <w:lang w:val="en-US" w:eastAsia="zh-CN" w:bidi="ar-SA"/>
        </w:rPr>
        <w:t>11.2在争议解决期间，合同中未涉及争议部分的条款仍需履行。</w:t>
      </w:r>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99" w:name="_Toc8243"/>
      <w:bookmarkStart w:id="100" w:name="_Toc11294"/>
      <w:bookmarkStart w:id="101" w:name="_Toc17594"/>
      <w:bookmarkStart w:id="102" w:name="_Toc10886"/>
      <w:bookmarkStart w:id="103" w:name="_Toc28890"/>
      <w:bookmarkStart w:id="104" w:name="_Toc27269"/>
      <w:bookmarkStart w:id="105" w:name="_Toc17422"/>
      <w:bookmarkStart w:id="106" w:name="_Toc32043"/>
      <w:bookmarkStart w:id="107" w:name="_Toc19070"/>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适用法律</w:t>
      </w:r>
      <w:bookmarkEnd w:id="99"/>
      <w:bookmarkEnd w:id="100"/>
      <w:bookmarkEnd w:id="101"/>
      <w:bookmarkEnd w:id="102"/>
      <w:bookmarkEnd w:id="103"/>
      <w:bookmarkEnd w:id="104"/>
      <w:bookmarkEnd w:id="105"/>
      <w:bookmarkEnd w:id="106"/>
      <w:bookmarkEnd w:id="107"/>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.1本合同的订立、效力、解释、履行和争议的解决适用中华人民共和国法律。</w:t>
      </w:r>
    </w:p>
    <w:p>
      <w:pPr>
        <w:pStyle w:val="7"/>
        <w:keepNext w:val="0"/>
        <w:keepLines w:val="0"/>
        <w:pageBreakBefore w:val="0"/>
        <w:kinsoku/>
        <w:wordWrap/>
        <w:overflowPunct/>
        <w:topLinePunct w:val="0"/>
        <w:autoSpaceDE/>
        <w:autoSpaceDN/>
        <w:bidi w:val="0"/>
        <w:spacing w:line="240" w:lineRule="auto"/>
        <w:ind w:firstLine="2783" w:firstLineChars="990"/>
        <w:jc w:val="both"/>
        <w:textAlignment w:val="auto"/>
        <w:rPr>
          <w:rFonts w:asciiTheme="minorEastAsia" w:hAnsiTheme="minorEastAsia" w:eastAsiaTheme="minorEastAsia"/>
          <w:sz w:val="28"/>
          <w:szCs w:val="28"/>
        </w:rPr>
      </w:pPr>
      <w:bookmarkStart w:id="108" w:name="_Toc1452"/>
      <w:bookmarkStart w:id="109" w:name="_Toc15629"/>
      <w:bookmarkStart w:id="110" w:name="_Toc8833"/>
      <w:bookmarkStart w:id="111" w:name="_Toc13533"/>
      <w:bookmarkStart w:id="112" w:name="_Toc4495"/>
      <w:bookmarkStart w:id="113" w:name="_Toc24223"/>
      <w:bookmarkStart w:id="114" w:name="_Toc29003"/>
      <w:bookmarkStart w:id="115" w:name="_Toc6706"/>
      <w:bookmarkStart w:id="116" w:name="_Toc24037"/>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合同生效和期限</w:t>
      </w:r>
      <w:bookmarkEnd w:id="108"/>
      <w:bookmarkEnd w:id="109"/>
      <w:bookmarkEnd w:id="110"/>
      <w:bookmarkEnd w:id="111"/>
      <w:bookmarkEnd w:id="112"/>
      <w:bookmarkEnd w:id="113"/>
      <w:bookmarkEnd w:id="114"/>
      <w:bookmarkEnd w:id="115"/>
      <w:bookmarkEnd w:id="116"/>
    </w:p>
    <w:p>
      <w:pPr>
        <w:keepNext w:val="0"/>
        <w:keepLines w:val="0"/>
        <w:pageBreakBefore w:val="0"/>
        <w:kinsoku/>
        <w:wordWrap/>
        <w:overflowPunct/>
        <w:topLinePunct w:val="0"/>
        <w:autoSpaceDE/>
        <w:autoSpaceDN/>
        <w:bidi w:val="0"/>
        <w:spacing w:line="240" w:lineRule="auto"/>
        <w:textAlignment w:val="auto"/>
        <w:rPr>
          <w:rFonts w:hint="default" w:cs="Times New Roman"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13.</w:t>
      </w:r>
      <w:r>
        <w:rPr>
          <w:rFonts w:asciiTheme="minorEastAsia" w:hAnsiTheme="minorEastAsia" w:eastAsiaTheme="minorEastAsia"/>
          <w:sz w:val="28"/>
          <w:szCs w:val="28"/>
        </w:rPr>
        <w:t>1</w:t>
      </w:r>
      <w:r>
        <w:rPr>
          <w:rFonts w:hint="default" w:cs="Times New Roman" w:asciiTheme="minorEastAsia" w:hAnsiTheme="minorEastAsia" w:eastAsiaTheme="minorEastAsia"/>
          <w:sz w:val="28"/>
          <w:szCs w:val="28"/>
          <w:lang w:val="en-US" w:eastAsia="zh-CN"/>
        </w:rPr>
        <w:t>本合同甲、乙、丙三方</w:t>
      </w:r>
      <w:r>
        <w:rPr>
          <w:rFonts w:hint="default" w:cs="Times New Roman" w:asciiTheme="minorEastAsia" w:hAnsiTheme="minorEastAsia" w:eastAsiaTheme="minorEastAsia"/>
          <w:sz w:val="28"/>
          <w:szCs w:val="28"/>
        </w:rPr>
        <w:t>通过</w:t>
      </w:r>
      <w:r>
        <w:rPr>
          <w:rFonts w:hint="eastAsia" w:cs="Times New Roman" w:asciiTheme="minorEastAsia" w:hAnsiTheme="minorEastAsia" w:eastAsiaTheme="minorEastAsia"/>
          <w:snapToGrid/>
          <w:kern w:val="2"/>
          <w:sz w:val="28"/>
          <w:szCs w:val="28"/>
          <w:lang w:val="en-US" w:eastAsia="zh-CN"/>
        </w:rPr>
        <w:t>电力交易平台</w:t>
      </w:r>
      <w:r>
        <w:rPr>
          <w:rFonts w:hint="default" w:cs="Times New Roman" w:asciiTheme="minorEastAsia" w:hAnsiTheme="minorEastAsia" w:eastAsiaTheme="minorEastAsia"/>
          <w:sz w:val="28"/>
          <w:szCs w:val="28"/>
        </w:rPr>
        <w:t>线上加盖电子印章之日起</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lang w:val="en-US" w:eastAsia="zh-CN"/>
        </w:rPr>
        <w:t>即对甲、乙、丙三方生效</w:t>
      </w:r>
      <w:r>
        <w:rPr>
          <w:rFonts w:hint="default" w:cs="Times New Roman"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eastAsia="zh-CN"/>
        </w:rPr>
        <w:t>13.</w:t>
      </w:r>
      <w:r>
        <w:rPr>
          <w:rFonts w:asciiTheme="minorEastAsia" w:hAnsiTheme="minorEastAsia" w:eastAsiaTheme="minorEastAsia"/>
          <w:sz w:val="28"/>
          <w:szCs w:val="28"/>
        </w:rPr>
        <w:t>2本合同有效期：</w:t>
      </w:r>
      <w:r>
        <w:rPr>
          <w:rFonts w:hint="eastAsia" w:asciiTheme="minorEastAsia" w:hAnsiTheme="minorEastAsia" w:eastAsiaTheme="minorEastAsia"/>
          <w:sz w:val="28"/>
          <w:szCs w:val="28"/>
        </w:rPr>
        <w:t>自各方满足本合同第</w:t>
      </w:r>
      <w:r>
        <w:rPr>
          <w:rFonts w:hint="eastAsia" w:asciiTheme="minorEastAsia" w:hAnsiTheme="minorEastAsia" w:eastAsiaTheme="minorEastAsia"/>
          <w:sz w:val="28"/>
          <w:szCs w:val="28"/>
          <w:lang w:eastAsia="zh-CN"/>
        </w:rPr>
        <w:t>13.</w:t>
      </w:r>
      <w:r>
        <w:rPr>
          <w:rFonts w:hint="eastAsia" w:asciiTheme="minorEastAsia" w:hAnsiTheme="minorEastAsia" w:eastAsiaTheme="minorEastAsia"/>
          <w:sz w:val="28"/>
          <w:szCs w:val="28"/>
        </w:rPr>
        <w:t>1条生效条件之日起至相关方电费完成清算且合同各方对电费清算无异议日止。</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117" w:name="_Toc8198"/>
      <w:bookmarkStart w:id="118" w:name="_Toc11976"/>
      <w:bookmarkStart w:id="119" w:name="_Toc26770"/>
      <w:bookmarkStart w:id="120" w:name="_Toc13593"/>
      <w:bookmarkStart w:id="121" w:name="_Toc12701"/>
      <w:bookmarkStart w:id="122" w:name="_Toc1834"/>
      <w:bookmarkStart w:id="123" w:name="_Toc27009"/>
      <w:bookmarkStart w:id="124" w:name="_Toc15936"/>
      <w:bookmarkStart w:id="125" w:name="_Toc24754"/>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其他</w:t>
      </w:r>
      <w:bookmarkEnd w:id="117"/>
      <w:bookmarkEnd w:id="118"/>
      <w:bookmarkEnd w:id="119"/>
      <w:bookmarkEnd w:id="120"/>
      <w:bookmarkEnd w:id="121"/>
      <w:bookmarkEnd w:id="122"/>
      <w:bookmarkEnd w:id="123"/>
      <w:bookmarkEnd w:id="124"/>
      <w:bookmarkEnd w:id="125"/>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eastAsia="zh-CN"/>
        </w:rPr>
        <w:t>14.</w:t>
      </w:r>
      <w:r>
        <w:rPr>
          <w:rFonts w:asciiTheme="minorEastAsia" w:hAnsiTheme="minorEastAsia" w:eastAsiaTheme="minorEastAsia"/>
          <w:sz w:val="28"/>
          <w:szCs w:val="28"/>
        </w:rPr>
        <w:t>1保密</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均应保证其从</w:t>
      </w:r>
      <w:r>
        <w:rPr>
          <w:rFonts w:hint="eastAsia" w:asciiTheme="minorEastAsia" w:hAnsiTheme="minorEastAsia" w:eastAsiaTheme="minorEastAsia"/>
          <w:sz w:val="28"/>
          <w:szCs w:val="28"/>
        </w:rPr>
        <w:t>他方</w:t>
      </w:r>
      <w:r>
        <w:rPr>
          <w:rFonts w:asciiTheme="minorEastAsia" w:hAnsiTheme="minorEastAsia" w:eastAsiaTheme="minorEastAsia"/>
          <w:sz w:val="28"/>
          <w:szCs w:val="28"/>
        </w:rPr>
        <w:t>取得的所有无法自公开渠道获得的资料和文件（包括财务、技术</w:t>
      </w:r>
      <w:r>
        <w:rPr>
          <w:rFonts w:hint="eastAsia" w:asciiTheme="minorEastAsia" w:hAnsiTheme="minorEastAsia" w:eastAsiaTheme="minorEastAsia"/>
          <w:sz w:val="28"/>
          <w:szCs w:val="28"/>
        </w:rPr>
        <w:t>、商业秘密、合同信息</w:t>
      </w:r>
      <w:r>
        <w:rPr>
          <w:rFonts w:asciiTheme="minorEastAsia" w:hAnsiTheme="minorEastAsia" w:eastAsiaTheme="minorEastAsia"/>
          <w:sz w:val="28"/>
          <w:szCs w:val="28"/>
        </w:rPr>
        <w:t>等内容）予以保密。未经该资料和文件的原提供方</w:t>
      </w:r>
      <w:r>
        <w:rPr>
          <w:rFonts w:hint="eastAsia" w:asciiTheme="minorEastAsia" w:hAnsiTheme="minorEastAsia" w:eastAsiaTheme="minorEastAsia"/>
          <w:sz w:val="28"/>
          <w:szCs w:val="28"/>
          <w:lang w:eastAsia="zh-CN"/>
        </w:rPr>
        <w:t>书面</w:t>
      </w:r>
      <w:r>
        <w:rPr>
          <w:rFonts w:asciiTheme="minorEastAsia" w:hAnsiTheme="minorEastAsia" w:eastAsiaTheme="minorEastAsia"/>
          <w:sz w:val="28"/>
          <w:szCs w:val="28"/>
        </w:rPr>
        <w:t>同意，</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方不得向</w:t>
      </w:r>
      <w:r>
        <w:rPr>
          <w:rFonts w:hint="eastAsia" w:asciiTheme="minorEastAsia" w:hAnsiTheme="minorEastAsia" w:eastAsiaTheme="minorEastAsia"/>
          <w:sz w:val="28"/>
          <w:szCs w:val="28"/>
        </w:rPr>
        <w:t>合同以外的</w:t>
      </w:r>
      <w:r>
        <w:rPr>
          <w:rFonts w:hint="eastAsia" w:asciiTheme="minorEastAsia" w:hAnsiTheme="minorEastAsia" w:eastAsiaTheme="minorEastAsia"/>
          <w:sz w:val="28"/>
          <w:szCs w:val="28"/>
          <w:lang w:eastAsia="zh-CN"/>
        </w:rPr>
        <w:t>主体</w:t>
      </w:r>
      <w:r>
        <w:rPr>
          <w:rFonts w:asciiTheme="minorEastAsia" w:hAnsiTheme="minorEastAsia" w:eastAsiaTheme="minorEastAsia"/>
          <w:sz w:val="28"/>
          <w:szCs w:val="28"/>
        </w:rPr>
        <w:t>透露该资料和文件的全部或任何部分，但按照法律、法规规定可做出披露的情况除外。</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14.2合同</w:t>
      </w:r>
      <w:r>
        <w:rPr>
          <w:rFonts w:hint="eastAsia" w:asciiTheme="minorEastAsia" w:hAnsiTheme="minorEastAsia" w:eastAsiaTheme="minorEastAsia"/>
          <w:sz w:val="28"/>
          <w:szCs w:val="28"/>
          <w:lang w:val="en-US" w:eastAsia="zh-CN"/>
        </w:rPr>
        <w:t>附录</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电量、电价</w:t>
      </w:r>
      <w:r>
        <w:rPr>
          <w:rFonts w:hint="eastAsia" w:asciiTheme="minorEastAsia" w:hAnsiTheme="minorEastAsia" w:eastAsiaTheme="minorEastAsia"/>
          <w:sz w:val="28"/>
          <w:szCs w:val="28"/>
        </w:rPr>
        <w:t>明细</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是本合同不可缺少的组成部分，与本合同具有同等法律效力，合同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为甲、乙两方通过</w:t>
      </w:r>
      <w:r>
        <w:rPr>
          <w:rFonts w:hint="eastAsia" w:cs="Times New Roman" w:asciiTheme="minorEastAsia" w:hAnsiTheme="minorEastAsia" w:eastAsiaTheme="minorEastAsia"/>
          <w:snapToGrid/>
          <w:kern w:val="2"/>
          <w:sz w:val="28"/>
          <w:szCs w:val="28"/>
          <w:lang w:val="en-US" w:eastAsia="zh-CN"/>
        </w:rPr>
        <w:t>电力交易平台</w:t>
      </w:r>
      <w:r>
        <w:rPr>
          <w:rFonts w:hint="eastAsia" w:asciiTheme="minorEastAsia" w:hAnsiTheme="minorEastAsia" w:eastAsiaTheme="minorEastAsia"/>
          <w:sz w:val="28"/>
          <w:szCs w:val="28"/>
        </w:rPr>
        <w:t>线上生成并确认的交易</w:t>
      </w:r>
      <w:r>
        <w:rPr>
          <w:rFonts w:hint="eastAsia" w:asciiTheme="minorEastAsia" w:hAnsiTheme="minorEastAsia" w:eastAsiaTheme="minorEastAsia"/>
          <w:sz w:val="28"/>
          <w:szCs w:val="28"/>
          <w:lang w:val="en-US" w:eastAsia="zh-CN"/>
        </w:rPr>
        <w:t>电量</w:t>
      </w:r>
      <w:r>
        <w:rPr>
          <w:rFonts w:hint="eastAsia" w:asciiTheme="minorEastAsia" w:hAnsiTheme="minorEastAsia" w:eastAsiaTheme="minorEastAsia"/>
          <w:sz w:val="28"/>
          <w:szCs w:val="28"/>
        </w:rPr>
        <w:t>明细。</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合同构成</w:t>
      </w:r>
    </w:p>
    <w:p>
      <w:pPr>
        <w:keepNext w:val="0"/>
        <w:keepLines w:val="0"/>
        <w:pageBreakBefore w:val="0"/>
        <w:kinsoku/>
        <w:wordWrap/>
        <w:overflowPunct/>
        <w:topLinePunct w:val="0"/>
        <w:autoSpaceDE/>
        <w:autoSpaceDN/>
        <w:bidi w:val="0"/>
        <w:spacing w:line="240" w:lineRule="auto"/>
        <w:ind w:firstLine="567"/>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本合同</w:t>
      </w:r>
      <w:r>
        <w:rPr>
          <w:rFonts w:hint="eastAsia" w:asciiTheme="minorEastAsia" w:hAnsiTheme="minorEastAsia" w:eastAsiaTheme="minorEastAsia"/>
          <w:sz w:val="28"/>
          <w:szCs w:val="28"/>
        </w:rPr>
        <w:t>由合同条款、</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及补充协议三部分</w:t>
      </w:r>
      <w:r>
        <w:rPr>
          <w:rFonts w:asciiTheme="minorEastAsia" w:hAnsiTheme="minorEastAsia" w:eastAsiaTheme="minorEastAsia"/>
          <w:sz w:val="28"/>
          <w:szCs w:val="28"/>
        </w:rPr>
        <w:t>构成</w:t>
      </w:r>
      <w:r>
        <w:rPr>
          <w:rFonts w:hint="eastAsia" w:asciiTheme="minorEastAsia" w:hAnsiTheme="minorEastAsia" w:eastAsiaTheme="minorEastAsia"/>
          <w:sz w:val="28"/>
          <w:szCs w:val="28"/>
        </w:rPr>
        <w:t>，三者具有相同的法律效力，本合同</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方如在本合同签订前已经达成其他合同内容与本合同有冲突的，则以本合同为准。</w:t>
      </w:r>
    </w:p>
    <w:p>
      <w:pPr>
        <w:keepNext w:val="0"/>
        <w:keepLines w:val="0"/>
        <w:pageBreakBefore w:val="0"/>
        <w:kinsoku/>
        <w:wordWrap/>
        <w:overflowPunct/>
        <w:topLinePunct w:val="0"/>
        <w:autoSpaceDE/>
        <w:autoSpaceDN/>
        <w:bidi w:val="0"/>
        <w:spacing w:line="240" w:lineRule="auto"/>
        <w:ind w:firstLine="567"/>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当合同条款与</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lang w:eastAsia="zh-CN"/>
        </w:rPr>
        <w:t>之间存在分歧矛盾时，应根据争议事项的性质，以与争议点最相关的和对该争议点处理更符合合同目的及合同内容为准。若采取上述原则后分歧和矛盾仍存在，则由各方本着诚信原则按合同目的协商确定。</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通知和送达</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任何与本合同有关的通知、文件和合规的账单等均</w:t>
      </w:r>
      <w:r>
        <w:rPr>
          <w:rFonts w:hint="eastAsia" w:asciiTheme="minorEastAsia" w:hAnsiTheme="minorEastAsia" w:eastAsiaTheme="minorEastAsia"/>
          <w:sz w:val="28"/>
          <w:szCs w:val="28"/>
        </w:rPr>
        <w:t>应按照约定的联络信息以书面方式发送给</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。通过挂号信、快递或当面送交的，经</w:t>
      </w:r>
      <w:r>
        <w:rPr>
          <w:rFonts w:asciiTheme="minorEastAsia" w:hAnsiTheme="minorEastAsia" w:eastAsiaTheme="minorEastAsia"/>
          <w:sz w:val="28"/>
          <w:szCs w:val="28"/>
          <w:highlight w:val="none"/>
        </w:rPr>
        <w:t>收件方</w:t>
      </w:r>
      <w:r>
        <w:rPr>
          <w:rFonts w:hint="eastAsia" w:asciiTheme="minorEastAsia" w:hAnsiTheme="minorEastAsia" w:eastAsiaTheme="minorEastAsia"/>
          <w:sz w:val="28"/>
          <w:szCs w:val="28"/>
          <w:highlight w:val="none"/>
          <w:lang w:eastAsia="zh-CN"/>
        </w:rPr>
        <w:t>（即企业法人、企业负责人或授权代表）</w:t>
      </w:r>
      <w:r>
        <w:rPr>
          <w:rFonts w:asciiTheme="minorEastAsia" w:hAnsiTheme="minorEastAsia" w:eastAsiaTheme="minorEastAsia"/>
          <w:sz w:val="28"/>
          <w:szCs w:val="28"/>
        </w:rPr>
        <w:t>签字确认即被认为送达；若以传真、电子邮件</w:t>
      </w:r>
      <w:r>
        <w:rPr>
          <w:rFonts w:hint="eastAsia" w:asciiTheme="minorEastAsia" w:hAnsiTheme="minorEastAsia" w:eastAsiaTheme="minorEastAsia"/>
          <w:sz w:val="28"/>
          <w:szCs w:val="28"/>
          <w:lang w:eastAsia="zh-CN"/>
        </w:rPr>
        <w:t>、即时通讯软件等</w:t>
      </w:r>
      <w:r>
        <w:rPr>
          <w:rFonts w:asciiTheme="minorEastAsia" w:hAnsiTheme="minorEastAsia" w:eastAsiaTheme="minorEastAsia"/>
          <w:sz w:val="28"/>
          <w:szCs w:val="28"/>
        </w:rPr>
        <w:t>方式发出并被接收，即视为送达。所有通知、文件和合规的账单等均在送达或接收后方能生效。</w:t>
      </w:r>
      <w:r>
        <w:rPr>
          <w:rFonts w:hint="eastAsia" w:asciiTheme="minorEastAsia" w:hAnsiTheme="minorEastAsia" w:eastAsiaTheme="minorEastAsia"/>
          <w:sz w:val="28"/>
          <w:szCs w:val="28"/>
          <w:lang w:eastAsia="zh-CN"/>
        </w:rPr>
        <w:t>一切通知、账单、资料或文件等应按照约定的联络信息发给合同其它方，直至任</w:t>
      </w:r>
      <w:r>
        <w:rPr>
          <w:rFonts w:hint="eastAsia" w:asciiTheme="minorEastAsia" w:hAnsiTheme="minorEastAsia" w:eastAsiaTheme="minorEastAsia"/>
          <w:sz w:val="28"/>
          <w:szCs w:val="28"/>
        </w:rPr>
        <w:t>一方</w:t>
      </w:r>
      <w:r>
        <w:rPr>
          <w:rFonts w:hint="eastAsia" w:asciiTheme="minorEastAsia" w:hAnsiTheme="minorEastAsia" w:eastAsiaTheme="minorEastAsia"/>
          <w:sz w:val="28"/>
          <w:szCs w:val="28"/>
          <w:lang w:eastAsia="zh-CN"/>
        </w:rPr>
        <w:t>书面通知其它方变更联络信息为止</w:t>
      </w:r>
      <w:r>
        <w:rPr>
          <w:rFonts w:hint="eastAsia"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不放弃权利</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放弃权利应当以书面声明的方式通知其</w:t>
      </w:r>
      <w:r>
        <w:rPr>
          <w:rFonts w:hint="eastAsia" w:asciiTheme="minorEastAsia" w:hAnsiTheme="minorEastAsia" w:eastAsiaTheme="minorEastAsia"/>
          <w:sz w:val="28"/>
          <w:szCs w:val="28"/>
          <w:lang w:eastAsia="zh-CN"/>
        </w:rPr>
        <w:t>他</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未</w:t>
      </w:r>
      <w:r>
        <w:rPr>
          <w:rFonts w:hint="eastAsia" w:asciiTheme="minorEastAsia" w:hAnsiTheme="minorEastAsia" w:eastAsiaTheme="minorEastAsia"/>
          <w:sz w:val="28"/>
          <w:szCs w:val="28"/>
        </w:rPr>
        <w:t>及时</w:t>
      </w:r>
      <w:r>
        <w:rPr>
          <w:rFonts w:asciiTheme="minorEastAsia" w:hAnsiTheme="minorEastAsia" w:eastAsiaTheme="minorEastAsia"/>
          <w:sz w:val="28"/>
          <w:szCs w:val="28"/>
        </w:rPr>
        <w:t>行使其在本合同项下的权利，不应被视为对上述</w:t>
      </w:r>
      <w:r>
        <w:rPr>
          <w:rFonts w:hint="eastAsia" w:asciiTheme="minorEastAsia" w:hAnsiTheme="minorEastAsia" w:eastAsiaTheme="minorEastAsia"/>
          <w:sz w:val="28"/>
          <w:szCs w:val="28"/>
        </w:rPr>
        <w:t>任何</w:t>
      </w:r>
      <w:r>
        <w:rPr>
          <w:rFonts w:asciiTheme="minorEastAsia" w:hAnsiTheme="minorEastAsia" w:eastAsiaTheme="minorEastAsia"/>
          <w:sz w:val="28"/>
          <w:szCs w:val="28"/>
        </w:rPr>
        <w:t>权利的放弃</w:t>
      </w:r>
      <w:r>
        <w:rPr>
          <w:rFonts w:hint="eastAsia" w:asciiTheme="minorEastAsia" w:hAnsiTheme="minorEastAsia" w:eastAsiaTheme="minorEastAsia"/>
          <w:sz w:val="28"/>
          <w:szCs w:val="28"/>
          <w:lang w:eastAsia="zh-CN"/>
        </w:rPr>
        <w:t>或</w:t>
      </w:r>
      <w:r>
        <w:rPr>
          <w:rFonts w:hint="eastAsia" w:asciiTheme="minorEastAsia" w:hAnsiTheme="minorEastAsia" w:eastAsiaTheme="minorEastAsia"/>
          <w:sz w:val="28"/>
          <w:szCs w:val="28"/>
        </w:rPr>
        <w:t>对今后任何上述权利的放弃。</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highlight w:val="none"/>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乙方与丙方已经签订的《购售电合同》《并网调度协议》和甲方与丙方已签订的《供用电合同》继续有效，互为补充；</w:t>
      </w:r>
      <w:r>
        <w:rPr>
          <w:rFonts w:asciiTheme="minorEastAsia" w:hAnsiTheme="minorEastAsia" w:eastAsiaTheme="minorEastAsia"/>
          <w:sz w:val="28"/>
          <w:szCs w:val="28"/>
          <w:highlight w:val="none"/>
        </w:rPr>
        <w:t>当《购售电合同》《并网调度协议》《供用电合同》约定的内容与本合同不一致时，应按协商一致的原则，经合同签订方协商确定后执行，协商不成的按程序报</w:t>
      </w:r>
      <w:r>
        <w:rPr>
          <w:rFonts w:hint="eastAsia" w:asciiTheme="minorEastAsia" w:hAnsiTheme="minorEastAsia" w:eastAsiaTheme="minorEastAsia"/>
          <w:sz w:val="28"/>
          <w:szCs w:val="28"/>
          <w:highlight w:val="none"/>
          <w:lang w:eastAsia="zh-CN"/>
        </w:rPr>
        <w:t>政府主管部门</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eastAsia="zh-CN"/>
        </w:rPr>
        <w:t>能源</w:t>
      </w:r>
      <w:r>
        <w:rPr>
          <w:rFonts w:asciiTheme="minorEastAsia" w:hAnsiTheme="minorEastAsia" w:eastAsiaTheme="minorEastAsia"/>
          <w:sz w:val="28"/>
          <w:szCs w:val="28"/>
          <w:highlight w:val="none"/>
        </w:rPr>
        <w:t>监管机构协调</w:t>
      </w:r>
      <w:r>
        <w:rPr>
          <w:rFonts w:hint="eastAsia" w:asciiTheme="minorEastAsia" w:hAnsiTheme="minorEastAsia" w:eastAsiaTheme="minorEastAsia"/>
          <w:sz w:val="28"/>
          <w:szCs w:val="28"/>
          <w:highlight w:val="none"/>
        </w:rPr>
        <w:t>确定</w:t>
      </w:r>
      <w:r>
        <w:rPr>
          <w:rFonts w:asciiTheme="minorEastAsia" w:hAnsiTheme="minorEastAsia" w:eastAsiaTheme="minorEastAsia"/>
          <w:sz w:val="28"/>
          <w:szCs w:val="28"/>
          <w:highlight w:val="none"/>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本合同中有关</w:t>
      </w:r>
      <w:r>
        <w:rPr>
          <w:rFonts w:hint="eastAsia" w:asciiTheme="minorEastAsia" w:hAnsiTheme="minorEastAsia" w:eastAsiaTheme="minorEastAsia"/>
          <w:sz w:val="28"/>
          <w:szCs w:val="28"/>
          <w:lang w:eastAsia="zh-CN"/>
        </w:rPr>
        <w:t>解除</w:t>
      </w:r>
      <w:r>
        <w:rPr>
          <w:rFonts w:asciiTheme="minorEastAsia" w:hAnsiTheme="minorEastAsia" w:eastAsiaTheme="minorEastAsia"/>
          <w:sz w:val="28"/>
          <w:szCs w:val="28"/>
        </w:rPr>
        <w:t>、保密</w:t>
      </w:r>
      <w:r>
        <w:rPr>
          <w:rFonts w:hint="eastAsia" w:asciiTheme="minorEastAsia" w:hAnsiTheme="minorEastAsia" w:eastAsiaTheme="minorEastAsia"/>
          <w:sz w:val="28"/>
          <w:szCs w:val="28"/>
          <w:lang w:eastAsia="zh-CN"/>
        </w:rPr>
        <w:t>和违约赔偿</w:t>
      </w:r>
      <w:r>
        <w:rPr>
          <w:rFonts w:asciiTheme="minorEastAsia" w:hAnsiTheme="minorEastAsia" w:eastAsiaTheme="minorEastAsia"/>
          <w:sz w:val="28"/>
          <w:szCs w:val="28"/>
        </w:rPr>
        <w:t>的条款在本合同解除后仍然有效。</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本合同未尽事宜，由</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方按照</w:t>
      </w:r>
      <w:r>
        <w:rPr>
          <w:rFonts w:hint="eastAsia" w:asciiTheme="minorEastAsia" w:hAnsiTheme="minorEastAsia" w:eastAsiaTheme="minorEastAsia"/>
          <w:sz w:val="28"/>
          <w:szCs w:val="28"/>
          <w:lang w:eastAsia="zh-CN"/>
        </w:rPr>
        <w:t>交易规则</w:t>
      </w:r>
      <w:r>
        <w:rPr>
          <w:rFonts w:hint="eastAsia" w:asciiTheme="minorEastAsia" w:hAnsiTheme="minorEastAsia" w:eastAsiaTheme="minorEastAsia"/>
          <w:sz w:val="28"/>
          <w:szCs w:val="28"/>
        </w:rPr>
        <w:t>另行协商并签订补充协议，补充协议与本合同具有同等法律效力。</w:t>
      </w:r>
    </w:p>
    <w:p>
      <w:pPr>
        <w:rPr>
          <w:rFonts w:asciiTheme="minorEastAsia" w:hAnsiTheme="minorEastAsia" w:eastAsiaTheme="minorEastAsia"/>
          <w:sz w:val="28"/>
          <w:szCs w:val="28"/>
        </w:rPr>
      </w:pPr>
    </w:p>
    <w:p>
      <w:pPr>
        <w:pStyle w:val="22"/>
      </w:pPr>
    </w:p>
    <w:p/>
    <w:p>
      <w:pPr>
        <w:pStyle w:val="22"/>
      </w:pPr>
    </w:p>
    <w:p/>
    <w:p>
      <w:pPr>
        <w:pStyle w:val="2"/>
      </w:pPr>
    </w:p>
    <w:p>
      <w:pPr>
        <w:pStyle w:val="2"/>
      </w:pPr>
    </w:p>
    <w:p>
      <w:pPr>
        <w:pStyle w:val="2"/>
      </w:pPr>
    </w:p>
    <w:p>
      <w:pPr>
        <w:pStyle w:val="2"/>
      </w:pPr>
    </w:p>
    <w:p>
      <w:pPr>
        <w:pStyle w:val="2"/>
      </w:pPr>
    </w:p>
    <w:p>
      <w:pPr>
        <w:pStyle w:val="2"/>
      </w:pPr>
    </w:p>
    <w:p>
      <w:pPr>
        <w:pStyle w:val="2"/>
      </w:pPr>
    </w:p>
    <w:p>
      <w:pPr>
        <w:pStyle w:val="2"/>
      </w:pPr>
    </w:p>
    <w:p>
      <w:pPr>
        <w:pStyle w:val="22"/>
        <w:ind w:left="0" w:leftChars="0" w:firstLine="0" w:firstLineChars="0"/>
      </w:pPr>
    </w:p>
    <w:p>
      <w:pPr>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此页无正文</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asciiTheme="minorEastAsia" w:hAnsiTheme="minorEastAsia" w:eastAsiaTheme="minorEastAsia"/>
          <w:sz w:val="28"/>
          <w:szCs w:val="28"/>
        </w:rPr>
        <w:t>甲方：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乙</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丙</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widowControl/>
        <w:jc w:val="left"/>
        <w:rPr>
          <w:rFonts w:asciiTheme="minorEastAsia" w:hAnsiTheme="minorEastAsia" w:eastAsiaTheme="minorEastAsia"/>
          <w:sz w:val="28"/>
          <w:szCs w:val="28"/>
        </w:rPr>
        <w:sectPr>
          <w:footerReference r:id="rId8" w:type="default"/>
          <w:endnotePr>
            <w:numFmt w:val="decimal"/>
          </w:endnotePr>
          <w:pgSz w:w="11906" w:h="16838"/>
          <w:pgMar w:top="1247" w:right="1133" w:bottom="1871" w:left="1418" w:header="851" w:footer="992" w:gutter="0"/>
          <w:pgNumType w:start="1"/>
          <w:cols w:space="720" w:num="1"/>
          <w:docGrid w:type="lines" w:linePitch="312" w:charSpace="0"/>
        </w:sectPr>
      </w:pPr>
      <w:r>
        <w:rPr>
          <w:rFonts w:hint="eastAsia" w:asciiTheme="minorEastAsia" w:hAnsiTheme="minorEastAsia" w:eastAsiaTheme="minorEastAsia"/>
          <w:sz w:val="28"/>
          <w:szCs w:val="28"/>
        </w:rPr>
        <w:t>签订地点：</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rPr>
        <w:t>南宁市民主路</w:t>
      </w:r>
      <w:r>
        <w:rPr>
          <w:rFonts w:asciiTheme="minorEastAsia" w:hAnsiTheme="minorEastAsia" w:eastAsiaTheme="minorEastAsia"/>
          <w:sz w:val="28"/>
          <w:szCs w:val="28"/>
          <w:u w:val="single"/>
        </w:rPr>
        <w:t>7号</w:t>
      </w:r>
      <w:r>
        <w:rPr>
          <w:rFonts w:hint="eastAsia" w:asciiTheme="minorEastAsia" w:hAnsiTheme="minorEastAsia" w:eastAsiaTheme="minorEastAsia"/>
          <w:sz w:val="28"/>
          <w:szCs w:val="28"/>
          <w:u w:val="single"/>
        </w:rPr>
        <w:t xml:space="preserve">                 </w:t>
      </w:r>
    </w:p>
    <w:p>
      <w:pPr>
        <w:widowControl/>
        <w:spacing w:before="157" w:beforeLines="50" w:after="157" w:afterLines="50"/>
        <w:jc w:val="left"/>
        <w:rPr>
          <w:rFonts w:hint="eastAsia" w:asciiTheme="minorEastAsia" w:hAnsiTheme="minorEastAsia" w:eastAsiaTheme="minorEastAsia"/>
          <w:b/>
          <w:bCs/>
          <w:sz w:val="28"/>
          <w:szCs w:val="28"/>
          <w:lang w:eastAsia="zh-CN"/>
        </w:rPr>
        <w:sectPr>
          <w:endnotePr>
            <w:numFmt w:val="decimal"/>
          </w:endnotePr>
          <w:type w:val="continuous"/>
          <w:pgSz w:w="11906" w:h="16838"/>
          <w:pgMar w:top="1247" w:right="1133" w:bottom="1871" w:left="1418" w:header="851" w:footer="992" w:gutter="0"/>
          <w:pgNumType w:start="1"/>
          <w:cols w:space="720" w:num="1"/>
          <w:docGrid w:type="lines" w:linePitch="312" w:charSpace="0"/>
        </w:sectPr>
      </w:pP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b/>
          <w:bCs/>
          <w:color w:val="000000"/>
          <w:sz w:val="24"/>
          <w:szCs w:val="24"/>
        </w:rPr>
      </w:pPr>
      <w:r>
        <w:rPr>
          <w:rFonts w:hint="eastAsia"/>
          <w:b/>
          <w:bCs/>
          <w:color w:val="000000"/>
          <w:sz w:val="24"/>
          <w:szCs w:val="24"/>
          <w:lang w:val="en-US" w:eastAsia="zh-CN"/>
        </w:rPr>
        <w:t>附录</w:t>
      </w:r>
      <w:r>
        <w:rPr>
          <w:b/>
          <w:bCs/>
          <w:color w:val="000000"/>
          <w:sz w:val="24"/>
          <w:szCs w:val="24"/>
        </w:rPr>
        <w:t>：交易</w:t>
      </w:r>
      <w:r>
        <w:rPr>
          <w:rFonts w:hint="eastAsia"/>
          <w:b/>
          <w:bCs/>
          <w:color w:val="000000"/>
          <w:sz w:val="24"/>
          <w:szCs w:val="24"/>
          <w:lang w:val="en-US" w:eastAsia="zh-CN"/>
        </w:rPr>
        <w:t>电量、电价</w:t>
      </w:r>
      <w:r>
        <w:rPr>
          <w:b/>
          <w:bCs/>
          <w:color w:val="000000"/>
          <w:sz w:val="24"/>
          <w:szCs w:val="24"/>
        </w:rPr>
        <w:t>明细</w:t>
      </w: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 xml:space="preserve">分月交易电量、电价： </w:t>
      </w:r>
    </w:p>
    <w:p>
      <w:pPr>
        <w:keepNext w:val="0"/>
        <w:keepLines w:val="0"/>
        <w:pageBreakBefore w:val="0"/>
        <w:widowControl/>
        <w:kinsoku/>
        <w:wordWrap/>
        <w:overflowPunct/>
        <w:topLinePunct w:val="0"/>
        <w:autoSpaceDE/>
        <w:autoSpaceDN/>
        <w:bidi w:val="0"/>
        <w:adjustRightInd/>
        <w:snapToGrid/>
        <w:ind w:firstLine="12300" w:firstLineChars="8200"/>
        <w:jc w:val="left"/>
        <w:textAlignment w:val="auto"/>
        <w:rPr>
          <w:rFonts w:hint="eastAsia" w:asciiTheme="minorEastAsia" w:hAnsiTheme="minorEastAsia" w:eastAsiaTheme="minorEastAsia"/>
          <w:b w:val="0"/>
          <w:bCs w:val="0"/>
          <w:sz w:val="21"/>
          <w:szCs w:val="21"/>
          <w:lang w:val="en-US" w:eastAsia="zh-CN"/>
        </w:rPr>
      </w:pP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1328" w:tblpY="273"/>
        <w:tblOverlap w:val="never"/>
        <w:tblW w:w="14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65"/>
        <w:gridCol w:w="1020"/>
        <w:gridCol w:w="1020"/>
        <w:gridCol w:w="1020"/>
        <w:gridCol w:w="1020"/>
        <w:gridCol w:w="1020"/>
        <w:gridCol w:w="1020"/>
        <w:gridCol w:w="1020"/>
        <w:gridCol w:w="1020"/>
        <w:gridCol w:w="1020"/>
        <w:gridCol w:w="1020"/>
        <w:gridCol w:w="102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交易电量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5"/>
                <w:szCs w:val="15"/>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widowControl/>
        <w:spacing w:before="157" w:beforeLines="50" w:after="157" w:afterLines="50"/>
        <w:jc w:val="left"/>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分时交易电量、电价：</w:t>
      </w:r>
    </w:p>
    <w:p>
      <w:pPr>
        <w:keepNext w:val="0"/>
        <w:keepLines w:val="0"/>
        <w:pageBreakBefore w:val="0"/>
        <w:widowControl/>
        <w:kinsoku/>
        <w:wordWrap/>
        <w:overflowPunct/>
        <w:topLinePunct w:val="0"/>
        <w:autoSpaceDE/>
        <w:autoSpaceDN/>
        <w:bidi w:val="0"/>
        <w:adjustRightInd/>
        <w:snapToGrid/>
        <w:jc w:val="left"/>
        <w:textAlignment w:val="auto"/>
        <w:rPr>
          <w:rFonts w:hint="default" w:asciiTheme="minorEastAsia" w:hAnsiTheme="minorEastAsia" w:eastAsiaTheme="minorEastAsia"/>
          <w:b w:val="0"/>
          <w:bCs w:val="0"/>
          <w:sz w:val="15"/>
          <w:szCs w:val="15"/>
          <w:lang w:val="en-US" w:eastAsia="zh-CN"/>
        </w:rPr>
      </w:pPr>
      <w:r>
        <w:rPr>
          <w:rFonts w:hint="eastAsia" w:asciiTheme="minorEastAsia" w:hAnsiTheme="minorEastAsia" w:eastAsiaTheme="minorEastAsia"/>
          <w:b/>
          <w:bCs/>
          <w:sz w:val="24"/>
          <w:szCs w:val="24"/>
          <w:lang w:val="en-US" w:eastAsia="zh-CN"/>
        </w:rPr>
        <w:t xml:space="preserve">                                                                                                      </w:t>
      </w:r>
      <w:r>
        <w:rPr>
          <w:rFonts w:hint="eastAsia" w:asciiTheme="minorEastAsia" w:hAnsiTheme="minorEastAsia" w:eastAsiaTheme="minorEastAsia"/>
          <w:b w:val="0"/>
          <w:bCs w:val="0"/>
          <w:sz w:val="15"/>
          <w:szCs w:val="15"/>
          <w:lang w:val="en-US" w:eastAsia="zh-CN"/>
        </w:rPr>
        <w:t>（单位：兆瓦时、元/兆瓦时）</w:t>
      </w:r>
    </w:p>
    <w:tbl>
      <w:tblPr>
        <w:tblStyle w:val="16"/>
        <w:tblW w:w="161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2"/>
        <w:gridCol w:w="780"/>
        <w:gridCol w:w="480"/>
        <w:gridCol w:w="589"/>
        <w:gridCol w:w="570"/>
        <w:gridCol w:w="690"/>
        <w:gridCol w:w="615"/>
        <w:gridCol w:w="615"/>
        <w:gridCol w:w="540"/>
        <w:gridCol w:w="600"/>
        <w:gridCol w:w="525"/>
        <w:gridCol w:w="615"/>
        <w:gridCol w:w="585"/>
        <w:gridCol w:w="540"/>
        <w:gridCol w:w="555"/>
        <w:gridCol w:w="600"/>
        <w:gridCol w:w="570"/>
        <w:gridCol w:w="705"/>
        <w:gridCol w:w="623"/>
        <w:gridCol w:w="580"/>
        <w:gridCol w:w="580"/>
        <w:gridCol w:w="580"/>
        <w:gridCol w:w="580"/>
        <w:gridCol w:w="580"/>
        <w:gridCol w:w="580"/>
        <w:gridCol w:w="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日期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0时</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2时</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11时</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15时</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2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XXXX年XX月XX日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电量</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28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widowControl/>
        <w:spacing w:before="157" w:beforeLines="50" w:after="157" w:afterLines="50"/>
        <w:jc w:val="left"/>
        <w:rPr>
          <w:rFonts w:hint="eastAsia" w:asciiTheme="minorEastAsia" w:hAnsiTheme="minorEastAsia" w:eastAsiaTheme="minorEastAsia"/>
          <w:b/>
          <w:bCs/>
          <w:sz w:val="28"/>
          <w:szCs w:val="28"/>
          <w:lang w:eastAsia="zh-CN"/>
        </w:rPr>
      </w:pPr>
    </w:p>
    <w:sectPr>
      <w:endnotePr>
        <w:numFmt w:val="decimal"/>
      </w:endnotePr>
      <w:pgSz w:w="16838" w:h="11906" w:orient="landscape"/>
      <w:pgMar w:top="1418" w:right="1134" w:bottom="1133"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8573458"/>
    </w:sdtPr>
    <w:sdtContent>
      <w:p>
        <w:pPr>
          <w:pStyle w:val="10"/>
          <w:jc w:val="center"/>
        </w:pPr>
        <w:r>
          <w:fldChar w:fldCharType="begin"/>
        </w:r>
        <w:r>
          <w:instrText xml:space="preserve">PAGE   \* MERGEFORMAT</w:instrText>
        </w:r>
        <w:r>
          <w:fldChar w:fldCharType="separate"/>
        </w:r>
        <w:r>
          <w:rPr>
            <w:lang w:val="zh-CN"/>
          </w:rPr>
          <w:t>1</w:t>
        </w:r>
        <w: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17</w:t>
        </w:r>
        <w: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3"/>
        <w:snapToGrid w:val="0"/>
      </w:pPr>
      <w:r>
        <w:rPr>
          <w:rStyle w:val="21"/>
        </w:rPr>
        <w:footnoteRef/>
      </w:r>
      <w:r>
        <w:t xml:space="preserve">  </w:t>
      </w:r>
      <w:r>
        <w:rPr>
          <w:rFonts w:hint="eastAsia"/>
        </w:rPr>
        <w:t>按接入的最高电压等级填写。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2"/>
    <w:footnote w:id="3"/>
  </w:footnotePr>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545"/>
    <w:rsid w:val="00003725"/>
    <w:rsid w:val="00003D45"/>
    <w:rsid w:val="00004149"/>
    <w:rsid w:val="0000445D"/>
    <w:rsid w:val="00004783"/>
    <w:rsid w:val="000061AD"/>
    <w:rsid w:val="0000760E"/>
    <w:rsid w:val="00011644"/>
    <w:rsid w:val="00012E0A"/>
    <w:rsid w:val="00013134"/>
    <w:rsid w:val="00015DBF"/>
    <w:rsid w:val="000164D9"/>
    <w:rsid w:val="00021466"/>
    <w:rsid w:val="00021605"/>
    <w:rsid w:val="000242FB"/>
    <w:rsid w:val="00025636"/>
    <w:rsid w:val="00027995"/>
    <w:rsid w:val="00027C41"/>
    <w:rsid w:val="00030881"/>
    <w:rsid w:val="000324C3"/>
    <w:rsid w:val="00034513"/>
    <w:rsid w:val="00036A84"/>
    <w:rsid w:val="00044257"/>
    <w:rsid w:val="00047F4A"/>
    <w:rsid w:val="000533C9"/>
    <w:rsid w:val="000560AC"/>
    <w:rsid w:val="000626F3"/>
    <w:rsid w:val="000648E5"/>
    <w:rsid w:val="000671F6"/>
    <w:rsid w:val="00070947"/>
    <w:rsid w:val="00071A12"/>
    <w:rsid w:val="000737DE"/>
    <w:rsid w:val="00073A40"/>
    <w:rsid w:val="0008297E"/>
    <w:rsid w:val="00084688"/>
    <w:rsid w:val="00084D34"/>
    <w:rsid w:val="00085369"/>
    <w:rsid w:val="0008560E"/>
    <w:rsid w:val="00086EDC"/>
    <w:rsid w:val="000A130B"/>
    <w:rsid w:val="000A2DAC"/>
    <w:rsid w:val="000A63F6"/>
    <w:rsid w:val="000A78B3"/>
    <w:rsid w:val="000B2C78"/>
    <w:rsid w:val="000B41F7"/>
    <w:rsid w:val="000B6225"/>
    <w:rsid w:val="000B6263"/>
    <w:rsid w:val="000B6C9A"/>
    <w:rsid w:val="000C48CD"/>
    <w:rsid w:val="000C57CE"/>
    <w:rsid w:val="000D0202"/>
    <w:rsid w:val="000D1404"/>
    <w:rsid w:val="000D22B2"/>
    <w:rsid w:val="000D2FE6"/>
    <w:rsid w:val="000D4DC9"/>
    <w:rsid w:val="000D6A14"/>
    <w:rsid w:val="000E5BE9"/>
    <w:rsid w:val="000F14C1"/>
    <w:rsid w:val="000F28CD"/>
    <w:rsid w:val="000F3402"/>
    <w:rsid w:val="000F3AF7"/>
    <w:rsid w:val="000F41F2"/>
    <w:rsid w:val="00104B8E"/>
    <w:rsid w:val="00104F00"/>
    <w:rsid w:val="001102F2"/>
    <w:rsid w:val="00111046"/>
    <w:rsid w:val="001112EE"/>
    <w:rsid w:val="0011320E"/>
    <w:rsid w:val="00114F3F"/>
    <w:rsid w:val="0011545A"/>
    <w:rsid w:val="00121107"/>
    <w:rsid w:val="00121576"/>
    <w:rsid w:val="00126737"/>
    <w:rsid w:val="0013300C"/>
    <w:rsid w:val="0013758B"/>
    <w:rsid w:val="00137E83"/>
    <w:rsid w:val="00140D5B"/>
    <w:rsid w:val="00142F6F"/>
    <w:rsid w:val="00142FAF"/>
    <w:rsid w:val="00145B51"/>
    <w:rsid w:val="00146906"/>
    <w:rsid w:val="001474CD"/>
    <w:rsid w:val="00153842"/>
    <w:rsid w:val="0015398B"/>
    <w:rsid w:val="0015673B"/>
    <w:rsid w:val="001635F8"/>
    <w:rsid w:val="00163D20"/>
    <w:rsid w:val="001649AF"/>
    <w:rsid w:val="00164ECC"/>
    <w:rsid w:val="0016560F"/>
    <w:rsid w:val="001658B0"/>
    <w:rsid w:val="001659CC"/>
    <w:rsid w:val="00165BC6"/>
    <w:rsid w:val="00165D1C"/>
    <w:rsid w:val="001701DF"/>
    <w:rsid w:val="00172FB0"/>
    <w:rsid w:val="00174A27"/>
    <w:rsid w:val="001779D6"/>
    <w:rsid w:val="0018165C"/>
    <w:rsid w:val="001879C0"/>
    <w:rsid w:val="00190155"/>
    <w:rsid w:val="001936FC"/>
    <w:rsid w:val="00195596"/>
    <w:rsid w:val="0019788F"/>
    <w:rsid w:val="001A0693"/>
    <w:rsid w:val="001A723E"/>
    <w:rsid w:val="001B151F"/>
    <w:rsid w:val="001B161E"/>
    <w:rsid w:val="001B1F36"/>
    <w:rsid w:val="001C17A7"/>
    <w:rsid w:val="001C4AEB"/>
    <w:rsid w:val="001C7D3D"/>
    <w:rsid w:val="001D2780"/>
    <w:rsid w:val="001D5C30"/>
    <w:rsid w:val="001D6A11"/>
    <w:rsid w:val="001E1106"/>
    <w:rsid w:val="001E4F41"/>
    <w:rsid w:val="001E53A6"/>
    <w:rsid w:val="001F315B"/>
    <w:rsid w:val="001F56B4"/>
    <w:rsid w:val="00201FC4"/>
    <w:rsid w:val="00204FC0"/>
    <w:rsid w:val="0020584D"/>
    <w:rsid w:val="0020687C"/>
    <w:rsid w:val="00210900"/>
    <w:rsid w:val="00216A08"/>
    <w:rsid w:val="00217220"/>
    <w:rsid w:val="00222005"/>
    <w:rsid w:val="00227C22"/>
    <w:rsid w:val="00231F33"/>
    <w:rsid w:val="002335B1"/>
    <w:rsid w:val="002425BE"/>
    <w:rsid w:val="002434B6"/>
    <w:rsid w:val="0025303C"/>
    <w:rsid w:val="00253654"/>
    <w:rsid w:val="00257972"/>
    <w:rsid w:val="00260214"/>
    <w:rsid w:val="00265AA2"/>
    <w:rsid w:val="00267CA1"/>
    <w:rsid w:val="0027151A"/>
    <w:rsid w:val="002715C4"/>
    <w:rsid w:val="00271AB2"/>
    <w:rsid w:val="00272469"/>
    <w:rsid w:val="0027387B"/>
    <w:rsid w:val="002765AC"/>
    <w:rsid w:val="0028017C"/>
    <w:rsid w:val="00295E78"/>
    <w:rsid w:val="00297975"/>
    <w:rsid w:val="002A2FF1"/>
    <w:rsid w:val="002A30E5"/>
    <w:rsid w:val="002A7CF2"/>
    <w:rsid w:val="002B5044"/>
    <w:rsid w:val="002B564C"/>
    <w:rsid w:val="002B676C"/>
    <w:rsid w:val="002B72AE"/>
    <w:rsid w:val="002C0A24"/>
    <w:rsid w:val="002D62A4"/>
    <w:rsid w:val="002E0FFF"/>
    <w:rsid w:val="002E17B5"/>
    <w:rsid w:val="002E4994"/>
    <w:rsid w:val="002E5ABA"/>
    <w:rsid w:val="002E6052"/>
    <w:rsid w:val="002E6B2D"/>
    <w:rsid w:val="002E74BA"/>
    <w:rsid w:val="002E7F7C"/>
    <w:rsid w:val="002F0D06"/>
    <w:rsid w:val="00303466"/>
    <w:rsid w:val="00313831"/>
    <w:rsid w:val="0031488E"/>
    <w:rsid w:val="00316434"/>
    <w:rsid w:val="003170A1"/>
    <w:rsid w:val="00317CEA"/>
    <w:rsid w:val="00321160"/>
    <w:rsid w:val="00325714"/>
    <w:rsid w:val="00330C83"/>
    <w:rsid w:val="00331480"/>
    <w:rsid w:val="003325C0"/>
    <w:rsid w:val="00333BA4"/>
    <w:rsid w:val="00334C34"/>
    <w:rsid w:val="003430C7"/>
    <w:rsid w:val="0034343E"/>
    <w:rsid w:val="00344528"/>
    <w:rsid w:val="003454B7"/>
    <w:rsid w:val="00347101"/>
    <w:rsid w:val="00347B38"/>
    <w:rsid w:val="00351F82"/>
    <w:rsid w:val="0036559C"/>
    <w:rsid w:val="003673F3"/>
    <w:rsid w:val="003707DC"/>
    <w:rsid w:val="00372061"/>
    <w:rsid w:val="0037665D"/>
    <w:rsid w:val="00376B24"/>
    <w:rsid w:val="003806BD"/>
    <w:rsid w:val="003819DE"/>
    <w:rsid w:val="00390EE8"/>
    <w:rsid w:val="00391337"/>
    <w:rsid w:val="00395565"/>
    <w:rsid w:val="003A15E0"/>
    <w:rsid w:val="003A5F24"/>
    <w:rsid w:val="003B000F"/>
    <w:rsid w:val="003B0702"/>
    <w:rsid w:val="003C3DA1"/>
    <w:rsid w:val="003C5727"/>
    <w:rsid w:val="003D19EB"/>
    <w:rsid w:val="003E57DD"/>
    <w:rsid w:val="003E5B1A"/>
    <w:rsid w:val="003F1F55"/>
    <w:rsid w:val="003F2B26"/>
    <w:rsid w:val="003F4791"/>
    <w:rsid w:val="00402F9E"/>
    <w:rsid w:val="00403493"/>
    <w:rsid w:val="00405CBA"/>
    <w:rsid w:val="0041094E"/>
    <w:rsid w:val="00414FBA"/>
    <w:rsid w:val="0041630B"/>
    <w:rsid w:val="004177A7"/>
    <w:rsid w:val="00421358"/>
    <w:rsid w:val="00427FCB"/>
    <w:rsid w:val="00442D7E"/>
    <w:rsid w:val="00444188"/>
    <w:rsid w:val="00451B38"/>
    <w:rsid w:val="00452F12"/>
    <w:rsid w:val="004704AE"/>
    <w:rsid w:val="00471491"/>
    <w:rsid w:val="0047172F"/>
    <w:rsid w:val="0047197D"/>
    <w:rsid w:val="00472FBB"/>
    <w:rsid w:val="00475917"/>
    <w:rsid w:val="00476FB2"/>
    <w:rsid w:val="004824DE"/>
    <w:rsid w:val="004829B0"/>
    <w:rsid w:val="00482D8B"/>
    <w:rsid w:val="00486AE9"/>
    <w:rsid w:val="004907C1"/>
    <w:rsid w:val="00493618"/>
    <w:rsid w:val="004960AD"/>
    <w:rsid w:val="004A1408"/>
    <w:rsid w:val="004A17E4"/>
    <w:rsid w:val="004B0838"/>
    <w:rsid w:val="004B1C1E"/>
    <w:rsid w:val="004B295F"/>
    <w:rsid w:val="004B715B"/>
    <w:rsid w:val="004B7509"/>
    <w:rsid w:val="004B7F2F"/>
    <w:rsid w:val="004C0D03"/>
    <w:rsid w:val="004C36B7"/>
    <w:rsid w:val="004C3F50"/>
    <w:rsid w:val="004C43CB"/>
    <w:rsid w:val="004C4B53"/>
    <w:rsid w:val="004D0037"/>
    <w:rsid w:val="004D2A71"/>
    <w:rsid w:val="004D2B87"/>
    <w:rsid w:val="004D51B2"/>
    <w:rsid w:val="004D6DEC"/>
    <w:rsid w:val="004E0C7A"/>
    <w:rsid w:val="004E11D6"/>
    <w:rsid w:val="004E5A1F"/>
    <w:rsid w:val="004E6DC7"/>
    <w:rsid w:val="004E7D2A"/>
    <w:rsid w:val="00500331"/>
    <w:rsid w:val="00503A90"/>
    <w:rsid w:val="00503D61"/>
    <w:rsid w:val="00504878"/>
    <w:rsid w:val="00511306"/>
    <w:rsid w:val="00512644"/>
    <w:rsid w:val="00520370"/>
    <w:rsid w:val="00527DA4"/>
    <w:rsid w:val="00530103"/>
    <w:rsid w:val="00530F99"/>
    <w:rsid w:val="00532061"/>
    <w:rsid w:val="0053226E"/>
    <w:rsid w:val="00533A3F"/>
    <w:rsid w:val="005352FE"/>
    <w:rsid w:val="00541D93"/>
    <w:rsid w:val="00543C7F"/>
    <w:rsid w:val="00544080"/>
    <w:rsid w:val="00544463"/>
    <w:rsid w:val="005448EC"/>
    <w:rsid w:val="00546077"/>
    <w:rsid w:val="00550F51"/>
    <w:rsid w:val="00554A0A"/>
    <w:rsid w:val="005666C6"/>
    <w:rsid w:val="005667E8"/>
    <w:rsid w:val="00571CAD"/>
    <w:rsid w:val="005808DD"/>
    <w:rsid w:val="00586485"/>
    <w:rsid w:val="00586CAF"/>
    <w:rsid w:val="0059075D"/>
    <w:rsid w:val="00593CA0"/>
    <w:rsid w:val="005961C8"/>
    <w:rsid w:val="005963BC"/>
    <w:rsid w:val="005A5194"/>
    <w:rsid w:val="005A5EFB"/>
    <w:rsid w:val="005B0650"/>
    <w:rsid w:val="005B1BF8"/>
    <w:rsid w:val="005B42EA"/>
    <w:rsid w:val="005B7A39"/>
    <w:rsid w:val="005C0525"/>
    <w:rsid w:val="005C0A06"/>
    <w:rsid w:val="005C0CB5"/>
    <w:rsid w:val="005C382C"/>
    <w:rsid w:val="005C4C57"/>
    <w:rsid w:val="005D265D"/>
    <w:rsid w:val="005E28AA"/>
    <w:rsid w:val="005E5F7A"/>
    <w:rsid w:val="005E7289"/>
    <w:rsid w:val="005F03B0"/>
    <w:rsid w:val="005F0543"/>
    <w:rsid w:val="005F077C"/>
    <w:rsid w:val="005F5AE9"/>
    <w:rsid w:val="00600EA9"/>
    <w:rsid w:val="00601389"/>
    <w:rsid w:val="00603D47"/>
    <w:rsid w:val="00604E47"/>
    <w:rsid w:val="00607796"/>
    <w:rsid w:val="00611079"/>
    <w:rsid w:val="00611805"/>
    <w:rsid w:val="006157E6"/>
    <w:rsid w:val="00624C4E"/>
    <w:rsid w:val="00632E68"/>
    <w:rsid w:val="00634813"/>
    <w:rsid w:val="0063615D"/>
    <w:rsid w:val="006368C8"/>
    <w:rsid w:val="00637678"/>
    <w:rsid w:val="006401D6"/>
    <w:rsid w:val="00642353"/>
    <w:rsid w:val="006454F4"/>
    <w:rsid w:val="00645859"/>
    <w:rsid w:val="00650798"/>
    <w:rsid w:val="00651890"/>
    <w:rsid w:val="00652523"/>
    <w:rsid w:val="00653F35"/>
    <w:rsid w:val="006575C3"/>
    <w:rsid w:val="00661462"/>
    <w:rsid w:val="00662BC6"/>
    <w:rsid w:val="00663518"/>
    <w:rsid w:val="006743A7"/>
    <w:rsid w:val="00685F72"/>
    <w:rsid w:val="006869BA"/>
    <w:rsid w:val="0068736F"/>
    <w:rsid w:val="00695A50"/>
    <w:rsid w:val="00697055"/>
    <w:rsid w:val="00697B6C"/>
    <w:rsid w:val="006A3DC6"/>
    <w:rsid w:val="006C0EF3"/>
    <w:rsid w:val="006C1655"/>
    <w:rsid w:val="006C4189"/>
    <w:rsid w:val="006C5F40"/>
    <w:rsid w:val="006C6FA8"/>
    <w:rsid w:val="006D0D61"/>
    <w:rsid w:val="006D0FC8"/>
    <w:rsid w:val="006D16CB"/>
    <w:rsid w:val="006D3E32"/>
    <w:rsid w:val="006D54CB"/>
    <w:rsid w:val="006E008D"/>
    <w:rsid w:val="006E11EC"/>
    <w:rsid w:val="006E18BD"/>
    <w:rsid w:val="006E22E6"/>
    <w:rsid w:val="006E30AF"/>
    <w:rsid w:val="006E5CAA"/>
    <w:rsid w:val="006F0DE4"/>
    <w:rsid w:val="006F176C"/>
    <w:rsid w:val="006F3467"/>
    <w:rsid w:val="006F37E3"/>
    <w:rsid w:val="00703E88"/>
    <w:rsid w:val="0070554C"/>
    <w:rsid w:val="0071745A"/>
    <w:rsid w:val="00723A6F"/>
    <w:rsid w:val="00732B22"/>
    <w:rsid w:val="00735352"/>
    <w:rsid w:val="00736429"/>
    <w:rsid w:val="00741D7E"/>
    <w:rsid w:val="007479AE"/>
    <w:rsid w:val="0075100C"/>
    <w:rsid w:val="00753E35"/>
    <w:rsid w:val="00754331"/>
    <w:rsid w:val="00756EC0"/>
    <w:rsid w:val="00757949"/>
    <w:rsid w:val="00761B51"/>
    <w:rsid w:val="007624D9"/>
    <w:rsid w:val="00763C4D"/>
    <w:rsid w:val="00764818"/>
    <w:rsid w:val="00764A34"/>
    <w:rsid w:val="007664BD"/>
    <w:rsid w:val="00766A64"/>
    <w:rsid w:val="0077679A"/>
    <w:rsid w:val="007769F0"/>
    <w:rsid w:val="00785210"/>
    <w:rsid w:val="007902DF"/>
    <w:rsid w:val="00791BD6"/>
    <w:rsid w:val="00792BA1"/>
    <w:rsid w:val="00794B81"/>
    <w:rsid w:val="00796B1E"/>
    <w:rsid w:val="00796CC0"/>
    <w:rsid w:val="007A1833"/>
    <w:rsid w:val="007A1977"/>
    <w:rsid w:val="007A1D1C"/>
    <w:rsid w:val="007A4348"/>
    <w:rsid w:val="007A45AE"/>
    <w:rsid w:val="007A45E1"/>
    <w:rsid w:val="007A4E86"/>
    <w:rsid w:val="007A5CE5"/>
    <w:rsid w:val="007A681B"/>
    <w:rsid w:val="007B1610"/>
    <w:rsid w:val="007B3D34"/>
    <w:rsid w:val="007B64B7"/>
    <w:rsid w:val="007C256A"/>
    <w:rsid w:val="007C3D55"/>
    <w:rsid w:val="007C3EF8"/>
    <w:rsid w:val="007C771D"/>
    <w:rsid w:val="007D368D"/>
    <w:rsid w:val="007D6767"/>
    <w:rsid w:val="007E4EBD"/>
    <w:rsid w:val="007F43DD"/>
    <w:rsid w:val="007F534B"/>
    <w:rsid w:val="00803EB0"/>
    <w:rsid w:val="00811AD5"/>
    <w:rsid w:val="00811C64"/>
    <w:rsid w:val="00812D7F"/>
    <w:rsid w:val="00820E2B"/>
    <w:rsid w:val="00822567"/>
    <w:rsid w:val="00827F27"/>
    <w:rsid w:val="0083394B"/>
    <w:rsid w:val="0084154B"/>
    <w:rsid w:val="00843493"/>
    <w:rsid w:val="00843A47"/>
    <w:rsid w:val="00852A0B"/>
    <w:rsid w:val="00854AE4"/>
    <w:rsid w:val="0086198E"/>
    <w:rsid w:val="00862F98"/>
    <w:rsid w:val="0086301F"/>
    <w:rsid w:val="00865693"/>
    <w:rsid w:val="008742F2"/>
    <w:rsid w:val="008829F1"/>
    <w:rsid w:val="00882D67"/>
    <w:rsid w:val="00883CAD"/>
    <w:rsid w:val="00885571"/>
    <w:rsid w:val="008903D5"/>
    <w:rsid w:val="0089064F"/>
    <w:rsid w:val="008932C9"/>
    <w:rsid w:val="008A344C"/>
    <w:rsid w:val="008A40B2"/>
    <w:rsid w:val="008A5C75"/>
    <w:rsid w:val="008A5F53"/>
    <w:rsid w:val="008A633C"/>
    <w:rsid w:val="008B2646"/>
    <w:rsid w:val="008B2D1A"/>
    <w:rsid w:val="008B3186"/>
    <w:rsid w:val="008B493A"/>
    <w:rsid w:val="008B639D"/>
    <w:rsid w:val="008C3CB5"/>
    <w:rsid w:val="008C426B"/>
    <w:rsid w:val="008C62E6"/>
    <w:rsid w:val="008C6E14"/>
    <w:rsid w:val="008D2441"/>
    <w:rsid w:val="008D339D"/>
    <w:rsid w:val="008D56F2"/>
    <w:rsid w:val="008D6E66"/>
    <w:rsid w:val="008D783B"/>
    <w:rsid w:val="008E00F4"/>
    <w:rsid w:val="008E0788"/>
    <w:rsid w:val="008E7709"/>
    <w:rsid w:val="008F12A4"/>
    <w:rsid w:val="008F7866"/>
    <w:rsid w:val="00901D8B"/>
    <w:rsid w:val="00903D07"/>
    <w:rsid w:val="009104E7"/>
    <w:rsid w:val="00910992"/>
    <w:rsid w:val="00911115"/>
    <w:rsid w:val="00913733"/>
    <w:rsid w:val="0091380F"/>
    <w:rsid w:val="00915C6A"/>
    <w:rsid w:val="00916710"/>
    <w:rsid w:val="009211BD"/>
    <w:rsid w:val="00921A9C"/>
    <w:rsid w:val="00923DD6"/>
    <w:rsid w:val="00932A05"/>
    <w:rsid w:val="00933D8C"/>
    <w:rsid w:val="0093425A"/>
    <w:rsid w:val="009425D5"/>
    <w:rsid w:val="00944D68"/>
    <w:rsid w:val="00951767"/>
    <w:rsid w:val="00952D9A"/>
    <w:rsid w:val="009544DA"/>
    <w:rsid w:val="0095569C"/>
    <w:rsid w:val="00955EAD"/>
    <w:rsid w:val="00962ED7"/>
    <w:rsid w:val="00963F70"/>
    <w:rsid w:val="00964EF3"/>
    <w:rsid w:val="009659F5"/>
    <w:rsid w:val="0096752C"/>
    <w:rsid w:val="00971372"/>
    <w:rsid w:val="00973399"/>
    <w:rsid w:val="009744D8"/>
    <w:rsid w:val="00975494"/>
    <w:rsid w:val="00977EB8"/>
    <w:rsid w:val="009821A2"/>
    <w:rsid w:val="00983C70"/>
    <w:rsid w:val="009865BB"/>
    <w:rsid w:val="0098666D"/>
    <w:rsid w:val="00987693"/>
    <w:rsid w:val="00991733"/>
    <w:rsid w:val="0099263D"/>
    <w:rsid w:val="00995647"/>
    <w:rsid w:val="0099603F"/>
    <w:rsid w:val="00997639"/>
    <w:rsid w:val="009A3B45"/>
    <w:rsid w:val="009A5D9C"/>
    <w:rsid w:val="009B0A7D"/>
    <w:rsid w:val="009B7F49"/>
    <w:rsid w:val="009C779B"/>
    <w:rsid w:val="009C79D6"/>
    <w:rsid w:val="009D0532"/>
    <w:rsid w:val="009D077C"/>
    <w:rsid w:val="009D09B0"/>
    <w:rsid w:val="009D0F66"/>
    <w:rsid w:val="009D2285"/>
    <w:rsid w:val="009D3EAC"/>
    <w:rsid w:val="009D5985"/>
    <w:rsid w:val="009D5DCD"/>
    <w:rsid w:val="009E016F"/>
    <w:rsid w:val="009E15F2"/>
    <w:rsid w:val="009E1EE1"/>
    <w:rsid w:val="009E6580"/>
    <w:rsid w:val="009E6588"/>
    <w:rsid w:val="00A01830"/>
    <w:rsid w:val="00A01BCD"/>
    <w:rsid w:val="00A03083"/>
    <w:rsid w:val="00A07E29"/>
    <w:rsid w:val="00A106FC"/>
    <w:rsid w:val="00A12BE3"/>
    <w:rsid w:val="00A14CFF"/>
    <w:rsid w:val="00A14F2F"/>
    <w:rsid w:val="00A159DB"/>
    <w:rsid w:val="00A206C0"/>
    <w:rsid w:val="00A240B4"/>
    <w:rsid w:val="00A279B6"/>
    <w:rsid w:val="00A371F3"/>
    <w:rsid w:val="00A40811"/>
    <w:rsid w:val="00A4420A"/>
    <w:rsid w:val="00A4473E"/>
    <w:rsid w:val="00A54E58"/>
    <w:rsid w:val="00A556AE"/>
    <w:rsid w:val="00A6093C"/>
    <w:rsid w:val="00A61A2B"/>
    <w:rsid w:val="00A62C42"/>
    <w:rsid w:val="00A63642"/>
    <w:rsid w:val="00A6790B"/>
    <w:rsid w:val="00A71347"/>
    <w:rsid w:val="00A73F73"/>
    <w:rsid w:val="00A7629E"/>
    <w:rsid w:val="00A76FC4"/>
    <w:rsid w:val="00A828A3"/>
    <w:rsid w:val="00A84E5B"/>
    <w:rsid w:val="00A87671"/>
    <w:rsid w:val="00A94606"/>
    <w:rsid w:val="00A950D9"/>
    <w:rsid w:val="00A97B2F"/>
    <w:rsid w:val="00AA3554"/>
    <w:rsid w:val="00AB0EFA"/>
    <w:rsid w:val="00AB2306"/>
    <w:rsid w:val="00AB5D1A"/>
    <w:rsid w:val="00AB6A85"/>
    <w:rsid w:val="00AC1547"/>
    <w:rsid w:val="00AC2885"/>
    <w:rsid w:val="00AC2E3E"/>
    <w:rsid w:val="00AD32F6"/>
    <w:rsid w:val="00AD6F09"/>
    <w:rsid w:val="00AE0A58"/>
    <w:rsid w:val="00AE1D9F"/>
    <w:rsid w:val="00AE2A52"/>
    <w:rsid w:val="00AF0713"/>
    <w:rsid w:val="00AF1207"/>
    <w:rsid w:val="00AF133B"/>
    <w:rsid w:val="00AF1DD8"/>
    <w:rsid w:val="00AF2B45"/>
    <w:rsid w:val="00AF4AFB"/>
    <w:rsid w:val="00AF7FA3"/>
    <w:rsid w:val="00B0087B"/>
    <w:rsid w:val="00B01A91"/>
    <w:rsid w:val="00B033E6"/>
    <w:rsid w:val="00B065CE"/>
    <w:rsid w:val="00B1157C"/>
    <w:rsid w:val="00B11C17"/>
    <w:rsid w:val="00B16599"/>
    <w:rsid w:val="00B20443"/>
    <w:rsid w:val="00B24D98"/>
    <w:rsid w:val="00B2612A"/>
    <w:rsid w:val="00B36BD3"/>
    <w:rsid w:val="00B3775C"/>
    <w:rsid w:val="00B407DE"/>
    <w:rsid w:val="00B410A9"/>
    <w:rsid w:val="00B413CC"/>
    <w:rsid w:val="00B45FFF"/>
    <w:rsid w:val="00B469A0"/>
    <w:rsid w:val="00B51037"/>
    <w:rsid w:val="00B51550"/>
    <w:rsid w:val="00B5213C"/>
    <w:rsid w:val="00B52BE4"/>
    <w:rsid w:val="00B53622"/>
    <w:rsid w:val="00B5755D"/>
    <w:rsid w:val="00B61EA2"/>
    <w:rsid w:val="00B72C44"/>
    <w:rsid w:val="00B73A0E"/>
    <w:rsid w:val="00B7750A"/>
    <w:rsid w:val="00B82A28"/>
    <w:rsid w:val="00B83545"/>
    <w:rsid w:val="00B84CB9"/>
    <w:rsid w:val="00B850C9"/>
    <w:rsid w:val="00B945DD"/>
    <w:rsid w:val="00B97201"/>
    <w:rsid w:val="00B97393"/>
    <w:rsid w:val="00B97E80"/>
    <w:rsid w:val="00BA0264"/>
    <w:rsid w:val="00BA25F4"/>
    <w:rsid w:val="00BA2B2A"/>
    <w:rsid w:val="00BB02F3"/>
    <w:rsid w:val="00BB1143"/>
    <w:rsid w:val="00BC5361"/>
    <w:rsid w:val="00BC62CD"/>
    <w:rsid w:val="00BD353F"/>
    <w:rsid w:val="00BD45FF"/>
    <w:rsid w:val="00BD4F97"/>
    <w:rsid w:val="00BD7DE7"/>
    <w:rsid w:val="00BE161F"/>
    <w:rsid w:val="00BE17C9"/>
    <w:rsid w:val="00BE220A"/>
    <w:rsid w:val="00BE348C"/>
    <w:rsid w:val="00BE42D6"/>
    <w:rsid w:val="00BE4FF2"/>
    <w:rsid w:val="00BE5C06"/>
    <w:rsid w:val="00BE66AE"/>
    <w:rsid w:val="00BF20AE"/>
    <w:rsid w:val="00BF3625"/>
    <w:rsid w:val="00BF4213"/>
    <w:rsid w:val="00BF64EE"/>
    <w:rsid w:val="00C01790"/>
    <w:rsid w:val="00C027B5"/>
    <w:rsid w:val="00C02DFD"/>
    <w:rsid w:val="00C05527"/>
    <w:rsid w:val="00C101F1"/>
    <w:rsid w:val="00C1066A"/>
    <w:rsid w:val="00C13473"/>
    <w:rsid w:val="00C137D7"/>
    <w:rsid w:val="00C16296"/>
    <w:rsid w:val="00C20038"/>
    <w:rsid w:val="00C20A58"/>
    <w:rsid w:val="00C23436"/>
    <w:rsid w:val="00C23E2B"/>
    <w:rsid w:val="00C24BCF"/>
    <w:rsid w:val="00C262CA"/>
    <w:rsid w:val="00C26301"/>
    <w:rsid w:val="00C26676"/>
    <w:rsid w:val="00C335B4"/>
    <w:rsid w:val="00C35D26"/>
    <w:rsid w:val="00C41888"/>
    <w:rsid w:val="00C42E2A"/>
    <w:rsid w:val="00C442B2"/>
    <w:rsid w:val="00C500A2"/>
    <w:rsid w:val="00C52872"/>
    <w:rsid w:val="00C56EEC"/>
    <w:rsid w:val="00C639B7"/>
    <w:rsid w:val="00C655CD"/>
    <w:rsid w:val="00C72F63"/>
    <w:rsid w:val="00C75098"/>
    <w:rsid w:val="00C855EE"/>
    <w:rsid w:val="00C92F35"/>
    <w:rsid w:val="00CA1B30"/>
    <w:rsid w:val="00CA1C5F"/>
    <w:rsid w:val="00CA3CD7"/>
    <w:rsid w:val="00CB031B"/>
    <w:rsid w:val="00CB20E1"/>
    <w:rsid w:val="00CB740D"/>
    <w:rsid w:val="00CC2568"/>
    <w:rsid w:val="00CC2A88"/>
    <w:rsid w:val="00CC2D13"/>
    <w:rsid w:val="00CC5072"/>
    <w:rsid w:val="00CC5E45"/>
    <w:rsid w:val="00CD01B5"/>
    <w:rsid w:val="00CE34E1"/>
    <w:rsid w:val="00CE403D"/>
    <w:rsid w:val="00CE64CD"/>
    <w:rsid w:val="00CE6851"/>
    <w:rsid w:val="00D060F7"/>
    <w:rsid w:val="00D06FCB"/>
    <w:rsid w:val="00D1763F"/>
    <w:rsid w:val="00D2507D"/>
    <w:rsid w:val="00D27630"/>
    <w:rsid w:val="00D33C9E"/>
    <w:rsid w:val="00D346B8"/>
    <w:rsid w:val="00D42982"/>
    <w:rsid w:val="00D45376"/>
    <w:rsid w:val="00D458E4"/>
    <w:rsid w:val="00D45D9D"/>
    <w:rsid w:val="00D47923"/>
    <w:rsid w:val="00D60077"/>
    <w:rsid w:val="00D60CCE"/>
    <w:rsid w:val="00D62327"/>
    <w:rsid w:val="00D6449D"/>
    <w:rsid w:val="00D64C99"/>
    <w:rsid w:val="00D706F8"/>
    <w:rsid w:val="00D720C7"/>
    <w:rsid w:val="00D77A89"/>
    <w:rsid w:val="00D9228A"/>
    <w:rsid w:val="00D95642"/>
    <w:rsid w:val="00DA42EB"/>
    <w:rsid w:val="00DA54B3"/>
    <w:rsid w:val="00DA69E1"/>
    <w:rsid w:val="00DB42F6"/>
    <w:rsid w:val="00DB6B57"/>
    <w:rsid w:val="00DC1FD6"/>
    <w:rsid w:val="00DC202C"/>
    <w:rsid w:val="00DC4288"/>
    <w:rsid w:val="00DC7808"/>
    <w:rsid w:val="00DD16BF"/>
    <w:rsid w:val="00DD48ED"/>
    <w:rsid w:val="00DE05BF"/>
    <w:rsid w:val="00DE0970"/>
    <w:rsid w:val="00DE3636"/>
    <w:rsid w:val="00DE44D7"/>
    <w:rsid w:val="00DE6BCA"/>
    <w:rsid w:val="00DF0875"/>
    <w:rsid w:val="00DF33F3"/>
    <w:rsid w:val="00DF3EA7"/>
    <w:rsid w:val="00E04EE5"/>
    <w:rsid w:val="00E108B9"/>
    <w:rsid w:val="00E10EAA"/>
    <w:rsid w:val="00E11156"/>
    <w:rsid w:val="00E12DDF"/>
    <w:rsid w:val="00E13340"/>
    <w:rsid w:val="00E160DD"/>
    <w:rsid w:val="00E2447D"/>
    <w:rsid w:val="00E273AD"/>
    <w:rsid w:val="00E277D9"/>
    <w:rsid w:val="00E27B41"/>
    <w:rsid w:val="00E37585"/>
    <w:rsid w:val="00E40632"/>
    <w:rsid w:val="00E43A8F"/>
    <w:rsid w:val="00E44490"/>
    <w:rsid w:val="00E45CBB"/>
    <w:rsid w:val="00E55462"/>
    <w:rsid w:val="00E57269"/>
    <w:rsid w:val="00E61539"/>
    <w:rsid w:val="00E62A3D"/>
    <w:rsid w:val="00E64BCE"/>
    <w:rsid w:val="00E71091"/>
    <w:rsid w:val="00E72D70"/>
    <w:rsid w:val="00E77A2D"/>
    <w:rsid w:val="00E87404"/>
    <w:rsid w:val="00E91088"/>
    <w:rsid w:val="00E91B33"/>
    <w:rsid w:val="00E93BDB"/>
    <w:rsid w:val="00E977F3"/>
    <w:rsid w:val="00EA0778"/>
    <w:rsid w:val="00EA084C"/>
    <w:rsid w:val="00EA2810"/>
    <w:rsid w:val="00EA5AA3"/>
    <w:rsid w:val="00EA6439"/>
    <w:rsid w:val="00EA6865"/>
    <w:rsid w:val="00EB1026"/>
    <w:rsid w:val="00EB66BF"/>
    <w:rsid w:val="00EC003B"/>
    <w:rsid w:val="00EC5AD7"/>
    <w:rsid w:val="00EC5B77"/>
    <w:rsid w:val="00EC6215"/>
    <w:rsid w:val="00EC785F"/>
    <w:rsid w:val="00ED4BD5"/>
    <w:rsid w:val="00ED633D"/>
    <w:rsid w:val="00ED6E82"/>
    <w:rsid w:val="00ED71AE"/>
    <w:rsid w:val="00EE32CF"/>
    <w:rsid w:val="00EE6C5F"/>
    <w:rsid w:val="00EE77B9"/>
    <w:rsid w:val="00EF0ADD"/>
    <w:rsid w:val="00EF0E05"/>
    <w:rsid w:val="00EF2613"/>
    <w:rsid w:val="00EF7EFB"/>
    <w:rsid w:val="00EF7F8B"/>
    <w:rsid w:val="00F007DB"/>
    <w:rsid w:val="00F0181C"/>
    <w:rsid w:val="00F02730"/>
    <w:rsid w:val="00F04051"/>
    <w:rsid w:val="00F10210"/>
    <w:rsid w:val="00F11C2B"/>
    <w:rsid w:val="00F2532C"/>
    <w:rsid w:val="00F26664"/>
    <w:rsid w:val="00F26B86"/>
    <w:rsid w:val="00F342E5"/>
    <w:rsid w:val="00F36D83"/>
    <w:rsid w:val="00F36F77"/>
    <w:rsid w:val="00F37A01"/>
    <w:rsid w:val="00F37EEB"/>
    <w:rsid w:val="00F4669E"/>
    <w:rsid w:val="00F501CA"/>
    <w:rsid w:val="00F519E6"/>
    <w:rsid w:val="00F5630D"/>
    <w:rsid w:val="00F5662B"/>
    <w:rsid w:val="00F6080F"/>
    <w:rsid w:val="00F677C4"/>
    <w:rsid w:val="00F70FDB"/>
    <w:rsid w:val="00F71B3E"/>
    <w:rsid w:val="00F75DA4"/>
    <w:rsid w:val="00F77434"/>
    <w:rsid w:val="00F8438D"/>
    <w:rsid w:val="00F87240"/>
    <w:rsid w:val="00F95A64"/>
    <w:rsid w:val="00FA170A"/>
    <w:rsid w:val="00FA2EB0"/>
    <w:rsid w:val="00FA2FB6"/>
    <w:rsid w:val="00FA44A6"/>
    <w:rsid w:val="00FA6180"/>
    <w:rsid w:val="00FB3DD5"/>
    <w:rsid w:val="00FB4A82"/>
    <w:rsid w:val="00FC188D"/>
    <w:rsid w:val="00FC407A"/>
    <w:rsid w:val="00FC415D"/>
    <w:rsid w:val="00FC4D1B"/>
    <w:rsid w:val="00FC5618"/>
    <w:rsid w:val="00FC6925"/>
    <w:rsid w:val="00FE0317"/>
    <w:rsid w:val="00FE3671"/>
    <w:rsid w:val="00FE6DDB"/>
    <w:rsid w:val="00FF1E4D"/>
    <w:rsid w:val="00FF4E6E"/>
    <w:rsid w:val="00FF51A8"/>
    <w:rsid w:val="012106BF"/>
    <w:rsid w:val="01413762"/>
    <w:rsid w:val="0164246F"/>
    <w:rsid w:val="01B7223E"/>
    <w:rsid w:val="01D06328"/>
    <w:rsid w:val="020E339A"/>
    <w:rsid w:val="027B2B15"/>
    <w:rsid w:val="02A550CB"/>
    <w:rsid w:val="02A909FD"/>
    <w:rsid w:val="02EB261E"/>
    <w:rsid w:val="038106DE"/>
    <w:rsid w:val="039D0DCD"/>
    <w:rsid w:val="03D7569C"/>
    <w:rsid w:val="03F268C2"/>
    <w:rsid w:val="03F430D9"/>
    <w:rsid w:val="03F50BFA"/>
    <w:rsid w:val="04205FEA"/>
    <w:rsid w:val="044E59B7"/>
    <w:rsid w:val="045615DE"/>
    <w:rsid w:val="047B7088"/>
    <w:rsid w:val="04956F2A"/>
    <w:rsid w:val="04C331BD"/>
    <w:rsid w:val="04C3339C"/>
    <w:rsid w:val="04D56E61"/>
    <w:rsid w:val="04EA6CEB"/>
    <w:rsid w:val="04FF5053"/>
    <w:rsid w:val="05036F81"/>
    <w:rsid w:val="06285ECB"/>
    <w:rsid w:val="06324249"/>
    <w:rsid w:val="063E4399"/>
    <w:rsid w:val="065979F4"/>
    <w:rsid w:val="06D216C1"/>
    <w:rsid w:val="06D83554"/>
    <w:rsid w:val="06F2667A"/>
    <w:rsid w:val="06F37209"/>
    <w:rsid w:val="07086A93"/>
    <w:rsid w:val="07267AB8"/>
    <w:rsid w:val="074B7FD0"/>
    <w:rsid w:val="075F79D8"/>
    <w:rsid w:val="077C1044"/>
    <w:rsid w:val="07AC18B1"/>
    <w:rsid w:val="07BD6293"/>
    <w:rsid w:val="07EA247F"/>
    <w:rsid w:val="082924E2"/>
    <w:rsid w:val="089C30D4"/>
    <w:rsid w:val="08AC4E23"/>
    <w:rsid w:val="08D44FDB"/>
    <w:rsid w:val="08F76CFC"/>
    <w:rsid w:val="09255233"/>
    <w:rsid w:val="096A5A93"/>
    <w:rsid w:val="09847033"/>
    <w:rsid w:val="09A17DF7"/>
    <w:rsid w:val="09E44983"/>
    <w:rsid w:val="0A185349"/>
    <w:rsid w:val="0A75020E"/>
    <w:rsid w:val="0A915B93"/>
    <w:rsid w:val="0AB61705"/>
    <w:rsid w:val="0AC610AC"/>
    <w:rsid w:val="0AD8024D"/>
    <w:rsid w:val="0AE75767"/>
    <w:rsid w:val="0B7555F5"/>
    <w:rsid w:val="0BBA219A"/>
    <w:rsid w:val="0C461081"/>
    <w:rsid w:val="0C7D64D7"/>
    <w:rsid w:val="0D1B58A9"/>
    <w:rsid w:val="0D3A2B21"/>
    <w:rsid w:val="0D541FFB"/>
    <w:rsid w:val="0D5D3D78"/>
    <w:rsid w:val="0D5E473F"/>
    <w:rsid w:val="0DDC217E"/>
    <w:rsid w:val="0DEB2C45"/>
    <w:rsid w:val="0DEF06E7"/>
    <w:rsid w:val="0E10176C"/>
    <w:rsid w:val="0E532566"/>
    <w:rsid w:val="0E5D07A4"/>
    <w:rsid w:val="0E715A93"/>
    <w:rsid w:val="0E8B3D37"/>
    <w:rsid w:val="0EA701F3"/>
    <w:rsid w:val="0EBB73C6"/>
    <w:rsid w:val="0EDC13B4"/>
    <w:rsid w:val="0EF11389"/>
    <w:rsid w:val="0F247B55"/>
    <w:rsid w:val="0F643DDB"/>
    <w:rsid w:val="0FBD544B"/>
    <w:rsid w:val="10174AE6"/>
    <w:rsid w:val="102B0499"/>
    <w:rsid w:val="10300DA1"/>
    <w:rsid w:val="105305B6"/>
    <w:rsid w:val="10603518"/>
    <w:rsid w:val="10F13D8E"/>
    <w:rsid w:val="1120451C"/>
    <w:rsid w:val="11225CBA"/>
    <w:rsid w:val="11275D9C"/>
    <w:rsid w:val="1129335F"/>
    <w:rsid w:val="112C4910"/>
    <w:rsid w:val="117726C9"/>
    <w:rsid w:val="11845561"/>
    <w:rsid w:val="11E15059"/>
    <w:rsid w:val="12297854"/>
    <w:rsid w:val="12426152"/>
    <w:rsid w:val="12554760"/>
    <w:rsid w:val="126B45CA"/>
    <w:rsid w:val="12755FFE"/>
    <w:rsid w:val="127B2465"/>
    <w:rsid w:val="12BA796A"/>
    <w:rsid w:val="12DD32EA"/>
    <w:rsid w:val="130079DD"/>
    <w:rsid w:val="135377F0"/>
    <w:rsid w:val="137960AB"/>
    <w:rsid w:val="138B5E3B"/>
    <w:rsid w:val="13C6437E"/>
    <w:rsid w:val="14084E69"/>
    <w:rsid w:val="14506707"/>
    <w:rsid w:val="1487139F"/>
    <w:rsid w:val="14CA7663"/>
    <w:rsid w:val="14FD3655"/>
    <w:rsid w:val="15055421"/>
    <w:rsid w:val="15503F55"/>
    <w:rsid w:val="15A83580"/>
    <w:rsid w:val="16065875"/>
    <w:rsid w:val="16242783"/>
    <w:rsid w:val="16777BD5"/>
    <w:rsid w:val="16810F51"/>
    <w:rsid w:val="16846A2C"/>
    <w:rsid w:val="16AA1DC7"/>
    <w:rsid w:val="16B164EC"/>
    <w:rsid w:val="16C72EBD"/>
    <w:rsid w:val="16E8504E"/>
    <w:rsid w:val="16F2167F"/>
    <w:rsid w:val="1784588D"/>
    <w:rsid w:val="178B51AA"/>
    <w:rsid w:val="179448ED"/>
    <w:rsid w:val="180D2943"/>
    <w:rsid w:val="18220402"/>
    <w:rsid w:val="1837550A"/>
    <w:rsid w:val="184A74EA"/>
    <w:rsid w:val="18601EF3"/>
    <w:rsid w:val="18651D6E"/>
    <w:rsid w:val="187611DD"/>
    <w:rsid w:val="18AA0410"/>
    <w:rsid w:val="18EC3FF3"/>
    <w:rsid w:val="18FF1472"/>
    <w:rsid w:val="1949045A"/>
    <w:rsid w:val="194D250F"/>
    <w:rsid w:val="19650544"/>
    <w:rsid w:val="1A280197"/>
    <w:rsid w:val="1A4144CA"/>
    <w:rsid w:val="1A4910B4"/>
    <w:rsid w:val="1A945D6D"/>
    <w:rsid w:val="1AA049C3"/>
    <w:rsid w:val="1AC1159B"/>
    <w:rsid w:val="1ADC4BB4"/>
    <w:rsid w:val="1B326D2F"/>
    <w:rsid w:val="1B3F0891"/>
    <w:rsid w:val="1B7C02B4"/>
    <w:rsid w:val="1B890B76"/>
    <w:rsid w:val="1BDE5F84"/>
    <w:rsid w:val="1C1449D5"/>
    <w:rsid w:val="1C824A54"/>
    <w:rsid w:val="1C843EFB"/>
    <w:rsid w:val="1C8449EE"/>
    <w:rsid w:val="1C8F18F7"/>
    <w:rsid w:val="1C921618"/>
    <w:rsid w:val="1CAE3229"/>
    <w:rsid w:val="1CB40103"/>
    <w:rsid w:val="1D0106FF"/>
    <w:rsid w:val="1D037F77"/>
    <w:rsid w:val="1D50769E"/>
    <w:rsid w:val="1DE62485"/>
    <w:rsid w:val="1DF45E43"/>
    <w:rsid w:val="1E446CBB"/>
    <w:rsid w:val="1EA151AE"/>
    <w:rsid w:val="1EBF4EDB"/>
    <w:rsid w:val="1ED63D3F"/>
    <w:rsid w:val="1EE73F1B"/>
    <w:rsid w:val="1EF31344"/>
    <w:rsid w:val="1F1802D6"/>
    <w:rsid w:val="1F4B7411"/>
    <w:rsid w:val="1F602F56"/>
    <w:rsid w:val="1F7F5532"/>
    <w:rsid w:val="1F8B4DE5"/>
    <w:rsid w:val="1FC16DFA"/>
    <w:rsid w:val="2028397D"/>
    <w:rsid w:val="203E723D"/>
    <w:rsid w:val="20991590"/>
    <w:rsid w:val="20BB4D6B"/>
    <w:rsid w:val="20CF7D6F"/>
    <w:rsid w:val="21087EE0"/>
    <w:rsid w:val="21124746"/>
    <w:rsid w:val="212015A5"/>
    <w:rsid w:val="2123630C"/>
    <w:rsid w:val="215D1026"/>
    <w:rsid w:val="215D5E55"/>
    <w:rsid w:val="2166139D"/>
    <w:rsid w:val="217A3E58"/>
    <w:rsid w:val="21E947FD"/>
    <w:rsid w:val="21EB1E50"/>
    <w:rsid w:val="22802077"/>
    <w:rsid w:val="228367C0"/>
    <w:rsid w:val="22836FEF"/>
    <w:rsid w:val="228F2FAD"/>
    <w:rsid w:val="22935835"/>
    <w:rsid w:val="22D57D7C"/>
    <w:rsid w:val="22E50792"/>
    <w:rsid w:val="23046856"/>
    <w:rsid w:val="234224F2"/>
    <w:rsid w:val="23437204"/>
    <w:rsid w:val="234E046E"/>
    <w:rsid w:val="235016B1"/>
    <w:rsid w:val="238D3689"/>
    <w:rsid w:val="23CB04D5"/>
    <w:rsid w:val="23E6071A"/>
    <w:rsid w:val="248A6BC9"/>
    <w:rsid w:val="2493592D"/>
    <w:rsid w:val="24BE3478"/>
    <w:rsid w:val="24F013B7"/>
    <w:rsid w:val="2502156C"/>
    <w:rsid w:val="251420D0"/>
    <w:rsid w:val="25706695"/>
    <w:rsid w:val="25720966"/>
    <w:rsid w:val="257A2F88"/>
    <w:rsid w:val="258A7800"/>
    <w:rsid w:val="25A06BC6"/>
    <w:rsid w:val="26303BC4"/>
    <w:rsid w:val="264C4A2F"/>
    <w:rsid w:val="268016C9"/>
    <w:rsid w:val="26871A5F"/>
    <w:rsid w:val="26CD4076"/>
    <w:rsid w:val="26E366BA"/>
    <w:rsid w:val="26F773CA"/>
    <w:rsid w:val="276376E9"/>
    <w:rsid w:val="2776205F"/>
    <w:rsid w:val="278E6CB4"/>
    <w:rsid w:val="27B74537"/>
    <w:rsid w:val="27C5529D"/>
    <w:rsid w:val="27C9541A"/>
    <w:rsid w:val="27E32DEB"/>
    <w:rsid w:val="284371BC"/>
    <w:rsid w:val="28520627"/>
    <w:rsid w:val="28CA13BF"/>
    <w:rsid w:val="28E83F4C"/>
    <w:rsid w:val="28ED3CB1"/>
    <w:rsid w:val="28F54FA1"/>
    <w:rsid w:val="28F71661"/>
    <w:rsid w:val="290560AA"/>
    <w:rsid w:val="29120721"/>
    <w:rsid w:val="29651438"/>
    <w:rsid w:val="297062CC"/>
    <w:rsid w:val="299B2D90"/>
    <w:rsid w:val="2A3C3FE8"/>
    <w:rsid w:val="2A530A36"/>
    <w:rsid w:val="2A582E22"/>
    <w:rsid w:val="2A600FA4"/>
    <w:rsid w:val="2A703923"/>
    <w:rsid w:val="2AE00B1A"/>
    <w:rsid w:val="2AE329AF"/>
    <w:rsid w:val="2AF23FC0"/>
    <w:rsid w:val="2B0925CE"/>
    <w:rsid w:val="2B4B1A08"/>
    <w:rsid w:val="2B5F3D11"/>
    <w:rsid w:val="2B7B6ADF"/>
    <w:rsid w:val="2B8B08AC"/>
    <w:rsid w:val="2BC9010E"/>
    <w:rsid w:val="2BF0227D"/>
    <w:rsid w:val="2C103C86"/>
    <w:rsid w:val="2C3D4A45"/>
    <w:rsid w:val="2CDA05C5"/>
    <w:rsid w:val="2CE14ABF"/>
    <w:rsid w:val="2CEB276C"/>
    <w:rsid w:val="2CF841D4"/>
    <w:rsid w:val="2D390674"/>
    <w:rsid w:val="2D560416"/>
    <w:rsid w:val="2D603B98"/>
    <w:rsid w:val="2DB23D68"/>
    <w:rsid w:val="2DC32503"/>
    <w:rsid w:val="2E2C5B4A"/>
    <w:rsid w:val="2E342BFA"/>
    <w:rsid w:val="2E49795E"/>
    <w:rsid w:val="2E8B6795"/>
    <w:rsid w:val="2E966692"/>
    <w:rsid w:val="2EB91D2F"/>
    <w:rsid w:val="2EC71B2B"/>
    <w:rsid w:val="2EE50D88"/>
    <w:rsid w:val="2F274643"/>
    <w:rsid w:val="2F643FC2"/>
    <w:rsid w:val="2F714653"/>
    <w:rsid w:val="2FA5576E"/>
    <w:rsid w:val="2FD6099B"/>
    <w:rsid w:val="2FF06510"/>
    <w:rsid w:val="2FFD7D83"/>
    <w:rsid w:val="30266DAF"/>
    <w:rsid w:val="304B1F95"/>
    <w:rsid w:val="30500A01"/>
    <w:rsid w:val="308A24CE"/>
    <w:rsid w:val="30A55440"/>
    <w:rsid w:val="30AE42C3"/>
    <w:rsid w:val="30C27F5D"/>
    <w:rsid w:val="3107588D"/>
    <w:rsid w:val="311E6241"/>
    <w:rsid w:val="312C6624"/>
    <w:rsid w:val="314B3EC9"/>
    <w:rsid w:val="314C2AD5"/>
    <w:rsid w:val="31692DF3"/>
    <w:rsid w:val="31721044"/>
    <w:rsid w:val="318D0F6F"/>
    <w:rsid w:val="31A47212"/>
    <w:rsid w:val="31E65D13"/>
    <w:rsid w:val="32014D4A"/>
    <w:rsid w:val="32142FAE"/>
    <w:rsid w:val="321A71E7"/>
    <w:rsid w:val="323E4E55"/>
    <w:rsid w:val="3249561F"/>
    <w:rsid w:val="327A6AAA"/>
    <w:rsid w:val="329424F0"/>
    <w:rsid w:val="32983378"/>
    <w:rsid w:val="32B07E96"/>
    <w:rsid w:val="32E4045F"/>
    <w:rsid w:val="32FA36FC"/>
    <w:rsid w:val="330206EF"/>
    <w:rsid w:val="332D7941"/>
    <w:rsid w:val="33360809"/>
    <w:rsid w:val="33956F10"/>
    <w:rsid w:val="341A78F7"/>
    <w:rsid w:val="34511115"/>
    <w:rsid w:val="345F6741"/>
    <w:rsid w:val="34DB5893"/>
    <w:rsid w:val="34F05F29"/>
    <w:rsid w:val="34F25E1C"/>
    <w:rsid w:val="34F66B03"/>
    <w:rsid w:val="351A6F57"/>
    <w:rsid w:val="352F2FEB"/>
    <w:rsid w:val="353B3828"/>
    <w:rsid w:val="353F3364"/>
    <w:rsid w:val="358E4C71"/>
    <w:rsid w:val="35B41155"/>
    <w:rsid w:val="36130F0B"/>
    <w:rsid w:val="365611B3"/>
    <w:rsid w:val="36726475"/>
    <w:rsid w:val="368A6B82"/>
    <w:rsid w:val="368B17BC"/>
    <w:rsid w:val="369C5635"/>
    <w:rsid w:val="36AA12B9"/>
    <w:rsid w:val="37403E3C"/>
    <w:rsid w:val="37473E74"/>
    <w:rsid w:val="374E60DA"/>
    <w:rsid w:val="375865A8"/>
    <w:rsid w:val="377B1962"/>
    <w:rsid w:val="37AE10EE"/>
    <w:rsid w:val="37B3044B"/>
    <w:rsid w:val="37DD71F3"/>
    <w:rsid w:val="3870740F"/>
    <w:rsid w:val="38840AC6"/>
    <w:rsid w:val="38DB2332"/>
    <w:rsid w:val="38EB22E5"/>
    <w:rsid w:val="39060E16"/>
    <w:rsid w:val="391D5547"/>
    <w:rsid w:val="395B41F9"/>
    <w:rsid w:val="39736A32"/>
    <w:rsid w:val="399E347B"/>
    <w:rsid w:val="39DE1E5C"/>
    <w:rsid w:val="39EB6D10"/>
    <w:rsid w:val="39FD4563"/>
    <w:rsid w:val="3A156519"/>
    <w:rsid w:val="3A61777F"/>
    <w:rsid w:val="3A9975E4"/>
    <w:rsid w:val="3AB025E6"/>
    <w:rsid w:val="3AC22B47"/>
    <w:rsid w:val="3B233963"/>
    <w:rsid w:val="3B293EBF"/>
    <w:rsid w:val="3B495CEE"/>
    <w:rsid w:val="3B50544E"/>
    <w:rsid w:val="3BDA5970"/>
    <w:rsid w:val="3BF7590C"/>
    <w:rsid w:val="3BFB6125"/>
    <w:rsid w:val="3C750CE5"/>
    <w:rsid w:val="3CAA7F25"/>
    <w:rsid w:val="3CEE7241"/>
    <w:rsid w:val="3D012821"/>
    <w:rsid w:val="3D7F7CDA"/>
    <w:rsid w:val="3D9604BD"/>
    <w:rsid w:val="3DFB45D1"/>
    <w:rsid w:val="3E3459F3"/>
    <w:rsid w:val="3E486B71"/>
    <w:rsid w:val="3E5762F2"/>
    <w:rsid w:val="3E5B4B72"/>
    <w:rsid w:val="3E896B4F"/>
    <w:rsid w:val="3E8D327A"/>
    <w:rsid w:val="3EA15835"/>
    <w:rsid w:val="3ECF31F0"/>
    <w:rsid w:val="3EE44CDF"/>
    <w:rsid w:val="3F1D3E52"/>
    <w:rsid w:val="3F50647D"/>
    <w:rsid w:val="3F61458D"/>
    <w:rsid w:val="3F701A33"/>
    <w:rsid w:val="3F8B7771"/>
    <w:rsid w:val="3FBD0875"/>
    <w:rsid w:val="3FBF4208"/>
    <w:rsid w:val="3FCC52FD"/>
    <w:rsid w:val="3FF200A3"/>
    <w:rsid w:val="40063087"/>
    <w:rsid w:val="40103CE4"/>
    <w:rsid w:val="404B215E"/>
    <w:rsid w:val="406E5A5E"/>
    <w:rsid w:val="40B3114E"/>
    <w:rsid w:val="40C218FF"/>
    <w:rsid w:val="40D17D62"/>
    <w:rsid w:val="41391670"/>
    <w:rsid w:val="413D76DD"/>
    <w:rsid w:val="416F37C8"/>
    <w:rsid w:val="41B75650"/>
    <w:rsid w:val="41DA0E19"/>
    <w:rsid w:val="420C7B90"/>
    <w:rsid w:val="422349BB"/>
    <w:rsid w:val="426E37ED"/>
    <w:rsid w:val="42791FDB"/>
    <w:rsid w:val="427D38AD"/>
    <w:rsid w:val="429443DD"/>
    <w:rsid w:val="42A72E2C"/>
    <w:rsid w:val="42AD0667"/>
    <w:rsid w:val="43097F74"/>
    <w:rsid w:val="435F4D17"/>
    <w:rsid w:val="4376373C"/>
    <w:rsid w:val="43AF3E9B"/>
    <w:rsid w:val="43B37448"/>
    <w:rsid w:val="4409162D"/>
    <w:rsid w:val="443D4F68"/>
    <w:rsid w:val="446E6F3D"/>
    <w:rsid w:val="447F4CC3"/>
    <w:rsid w:val="44A054AC"/>
    <w:rsid w:val="44A823E9"/>
    <w:rsid w:val="44C92E03"/>
    <w:rsid w:val="450E3C8C"/>
    <w:rsid w:val="45133BFD"/>
    <w:rsid w:val="455B1CDD"/>
    <w:rsid w:val="455D1A9C"/>
    <w:rsid w:val="4563232E"/>
    <w:rsid w:val="460B4CD7"/>
    <w:rsid w:val="46AA2A24"/>
    <w:rsid w:val="46D7150F"/>
    <w:rsid w:val="47755B73"/>
    <w:rsid w:val="47B60CFC"/>
    <w:rsid w:val="48476BE0"/>
    <w:rsid w:val="488B6554"/>
    <w:rsid w:val="48BD5686"/>
    <w:rsid w:val="48F549C4"/>
    <w:rsid w:val="49044EFF"/>
    <w:rsid w:val="496B3E6D"/>
    <w:rsid w:val="49723DF0"/>
    <w:rsid w:val="49BD321A"/>
    <w:rsid w:val="49C25A65"/>
    <w:rsid w:val="4A244D07"/>
    <w:rsid w:val="4A9133FA"/>
    <w:rsid w:val="4A9A7F07"/>
    <w:rsid w:val="4AA25970"/>
    <w:rsid w:val="4AAA628E"/>
    <w:rsid w:val="4AD34D5E"/>
    <w:rsid w:val="4AD51228"/>
    <w:rsid w:val="4AD8364A"/>
    <w:rsid w:val="4B1F1E15"/>
    <w:rsid w:val="4B2271B3"/>
    <w:rsid w:val="4B55676D"/>
    <w:rsid w:val="4B9F478E"/>
    <w:rsid w:val="4BB327EE"/>
    <w:rsid w:val="4C06536A"/>
    <w:rsid w:val="4C183349"/>
    <w:rsid w:val="4C7261A9"/>
    <w:rsid w:val="4CA26F5B"/>
    <w:rsid w:val="4CBE5194"/>
    <w:rsid w:val="4CD954D5"/>
    <w:rsid w:val="4CED7E12"/>
    <w:rsid w:val="4CFF5CDC"/>
    <w:rsid w:val="4D04029D"/>
    <w:rsid w:val="4D134917"/>
    <w:rsid w:val="4D5C2542"/>
    <w:rsid w:val="4D913AF0"/>
    <w:rsid w:val="4DA231FD"/>
    <w:rsid w:val="4DEA477C"/>
    <w:rsid w:val="4E0F1825"/>
    <w:rsid w:val="4E39548A"/>
    <w:rsid w:val="4E3D5EC2"/>
    <w:rsid w:val="4E4717F3"/>
    <w:rsid w:val="4E9B200A"/>
    <w:rsid w:val="4E9F2250"/>
    <w:rsid w:val="4EBF233B"/>
    <w:rsid w:val="4EED27A5"/>
    <w:rsid w:val="4EFE5908"/>
    <w:rsid w:val="4F053048"/>
    <w:rsid w:val="4F05473E"/>
    <w:rsid w:val="4F1156E3"/>
    <w:rsid w:val="4F1C7C45"/>
    <w:rsid w:val="4F2A0C0B"/>
    <w:rsid w:val="4F7440F5"/>
    <w:rsid w:val="4FE5087A"/>
    <w:rsid w:val="4FF66C6D"/>
    <w:rsid w:val="503246D5"/>
    <w:rsid w:val="504157EB"/>
    <w:rsid w:val="50946FAB"/>
    <w:rsid w:val="51235F6B"/>
    <w:rsid w:val="512C01E1"/>
    <w:rsid w:val="51485B34"/>
    <w:rsid w:val="519B3D5B"/>
    <w:rsid w:val="519E62CF"/>
    <w:rsid w:val="51C22FF8"/>
    <w:rsid w:val="521000D9"/>
    <w:rsid w:val="5228062E"/>
    <w:rsid w:val="52415A21"/>
    <w:rsid w:val="524D63CC"/>
    <w:rsid w:val="52A50187"/>
    <w:rsid w:val="52C7233F"/>
    <w:rsid w:val="52CA67E9"/>
    <w:rsid w:val="533E1196"/>
    <w:rsid w:val="53932274"/>
    <w:rsid w:val="53D173FF"/>
    <w:rsid w:val="54206046"/>
    <w:rsid w:val="544D68E1"/>
    <w:rsid w:val="5451740E"/>
    <w:rsid w:val="54583E93"/>
    <w:rsid w:val="545D0D86"/>
    <w:rsid w:val="546C3E1A"/>
    <w:rsid w:val="547202EA"/>
    <w:rsid w:val="547C7D2F"/>
    <w:rsid w:val="548E2B73"/>
    <w:rsid w:val="54A74231"/>
    <w:rsid w:val="54AE32BC"/>
    <w:rsid w:val="55285BCA"/>
    <w:rsid w:val="554D2753"/>
    <w:rsid w:val="555059C3"/>
    <w:rsid w:val="5560105B"/>
    <w:rsid w:val="5579587B"/>
    <w:rsid w:val="55A67439"/>
    <w:rsid w:val="55B26AB0"/>
    <w:rsid w:val="55BB7D07"/>
    <w:rsid w:val="55C62028"/>
    <w:rsid w:val="55C87BD0"/>
    <w:rsid w:val="560C1216"/>
    <w:rsid w:val="56AC2B70"/>
    <w:rsid w:val="56D258C4"/>
    <w:rsid w:val="56F902DD"/>
    <w:rsid w:val="57197883"/>
    <w:rsid w:val="574E1CE9"/>
    <w:rsid w:val="57516FA9"/>
    <w:rsid w:val="578627CE"/>
    <w:rsid w:val="57AF3F20"/>
    <w:rsid w:val="57F87E5B"/>
    <w:rsid w:val="58114E47"/>
    <w:rsid w:val="583762EF"/>
    <w:rsid w:val="584F2C30"/>
    <w:rsid w:val="588F3605"/>
    <w:rsid w:val="58A36E11"/>
    <w:rsid w:val="58B77D99"/>
    <w:rsid w:val="58EA443D"/>
    <w:rsid w:val="58F56571"/>
    <w:rsid w:val="58FF5D6B"/>
    <w:rsid w:val="590D042C"/>
    <w:rsid w:val="592279A4"/>
    <w:rsid w:val="592A47A6"/>
    <w:rsid w:val="595A128B"/>
    <w:rsid w:val="59857BF2"/>
    <w:rsid w:val="59FE5F1D"/>
    <w:rsid w:val="5A0309DC"/>
    <w:rsid w:val="5A0A63FF"/>
    <w:rsid w:val="5A2F10B2"/>
    <w:rsid w:val="5A3A7782"/>
    <w:rsid w:val="5A55759D"/>
    <w:rsid w:val="5A9E15BE"/>
    <w:rsid w:val="5AB22285"/>
    <w:rsid w:val="5AB27CBD"/>
    <w:rsid w:val="5AB42DA6"/>
    <w:rsid w:val="5AD921C2"/>
    <w:rsid w:val="5ADB462F"/>
    <w:rsid w:val="5AE54500"/>
    <w:rsid w:val="5B1D571D"/>
    <w:rsid w:val="5BF54396"/>
    <w:rsid w:val="5C6C25A4"/>
    <w:rsid w:val="5C9355D1"/>
    <w:rsid w:val="5CAF7E2E"/>
    <w:rsid w:val="5CBC6425"/>
    <w:rsid w:val="5CE51EBA"/>
    <w:rsid w:val="5CF31E5A"/>
    <w:rsid w:val="5D444714"/>
    <w:rsid w:val="5DC3631A"/>
    <w:rsid w:val="5E1553EA"/>
    <w:rsid w:val="5E8761EB"/>
    <w:rsid w:val="5E9012A7"/>
    <w:rsid w:val="5E9B1126"/>
    <w:rsid w:val="5F170CB4"/>
    <w:rsid w:val="5F3448AA"/>
    <w:rsid w:val="5FC36F55"/>
    <w:rsid w:val="5FC951F6"/>
    <w:rsid w:val="600A645A"/>
    <w:rsid w:val="60237E80"/>
    <w:rsid w:val="60423DF2"/>
    <w:rsid w:val="604F356C"/>
    <w:rsid w:val="606E0CA9"/>
    <w:rsid w:val="60BF7992"/>
    <w:rsid w:val="61584F83"/>
    <w:rsid w:val="619B3FFE"/>
    <w:rsid w:val="61E47550"/>
    <w:rsid w:val="61EB2EF5"/>
    <w:rsid w:val="61EE6531"/>
    <w:rsid w:val="62155175"/>
    <w:rsid w:val="623332C0"/>
    <w:rsid w:val="626E68C1"/>
    <w:rsid w:val="62A03CC3"/>
    <w:rsid w:val="62C870EE"/>
    <w:rsid w:val="63297C93"/>
    <w:rsid w:val="636778AF"/>
    <w:rsid w:val="63C40113"/>
    <w:rsid w:val="63CE73C8"/>
    <w:rsid w:val="63D910DF"/>
    <w:rsid w:val="63E12B85"/>
    <w:rsid w:val="6402440D"/>
    <w:rsid w:val="64225D7A"/>
    <w:rsid w:val="643B78ED"/>
    <w:rsid w:val="648B12A3"/>
    <w:rsid w:val="649215A0"/>
    <w:rsid w:val="64996BAD"/>
    <w:rsid w:val="64A8032E"/>
    <w:rsid w:val="64AF2DD9"/>
    <w:rsid w:val="64CE0876"/>
    <w:rsid w:val="64E24B5C"/>
    <w:rsid w:val="64ED3391"/>
    <w:rsid w:val="65134F73"/>
    <w:rsid w:val="653E0AF4"/>
    <w:rsid w:val="6541426F"/>
    <w:rsid w:val="657A131B"/>
    <w:rsid w:val="65AF16C1"/>
    <w:rsid w:val="65BB0F17"/>
    <w:rsid w:val="65D868A0"/>
    <w:rsid w:val="65EF35CB"/>
    <w:rsid w:val="663E3C68"/>
    <w:rsid w:val="665C7BB3"/>
    <w:rsid w:val="66902B60"/>
    <w:rsid w:val="67680679"/>
    <w:rsid w:val="677C38CA"/>
    <w:rsid w:val="67AD4F05"/>
    <w:rsid w:val="67F359AC"/>
    <w:rsid w:val="68243C0A"/>
    <w:rsid w:val="68481FD9"/>
    <w:rsid w:val="6880401A"/>
    <w:rsid w:val="68D85B5D"/>
    <w:rsid w:val="69021A5E"/>
    <w:rsid w:val="6924229A"/>
    <w:rsid w:val="69487908"/>
    <w:rsid w:val="69605977"/>
    <w:rsid w:val="69A764DB"/>
    <w:rsid w:val="69BB2992"/>
    <w:rsid w:val="69BE7ADF"/>
    <w:rsid w:val="6A087357"/>
    <w:rsid w:val="6A201CD0"/>
    <w:rsid w:val="6A3906C8"/>
    <w:rsid w:val="6A407377"/>
    <w:rsid w:val="6A81715D"/>
    <w:rsid w:val="6A8800DE"/>
    <w:rsid w:val="6A983337"/>
    <w:rsid w:val="6AAC00D6"/>
    <w:rsid w:val="6AF416F7"/>
    <w:rsid w:val="6B417957"/>
    <w:rsid w:val="6B431A75"/>
    <w:rsid w:val="6B833738"/>
    <w:rsid w:val="6C3E3DFE"/>
    <w:rsid w:val="6C4762E4"/>
    <w:rsid w:val="6C4A0FCE"/>
    <w:rsid w:val="6C4E0FDF"/>
    <w:rsid w:val="6CE90C07"/>
    <w:rsid w:val="6CEF0547"/>
    <w:rsid w:val="6D0F4F7D"/>
    <w:rsid w:val="6D27577C"/>
    <w:rsid w:val="6D515F01"/>
    <w:rsid w:val="6DC04E18"/>
    <w:rsid w:val="6DCA7153"/>
    <w:rsid w:val="6E172EBF"/>
    <w:rsid w:val="6E4D656C"/>
    <w:rsid w:val="6E80594F"/>
    <w:rsid w:val="6E9B5118"/>
    <w:rsid w:val="6EA87C96"/>
    <w:rsid w:val="6EB514EB"/>
    <w:rsid w:val="6ECA4F49"/>
    <w:rsid w:val="6ED95194"/>
    <w:rsid w:val="6F480A7A"/>
    <w:rsid w:val="6F5E6ED5"/>
    <w:rsid w:val="6FAA4CEB"/>
    <w:rsid w:val="6FE1178D"/>
    <w:rsid w:val="6FE51999"/>
    <w:rsid w:val="6FF26065"/>
    <w:rsid w:val="70A944C2"/>
    <w:rsid w:val="70D43F07"/>
    <w:rsid w:val="70D93429"/>
    <w:rsid w:val="70E552F3"/>
    <w:rsid w:val="70FA09C5"/>
    <w:rsid w:val="713A674D"/>
    <w:rsid w:val="717444F8"/>
    <w:rsid w:val="7184550B"/>
    <w:rsid w:val="71984F98"/>
    <w:rsid w:val="71A74613"/>
    <w:rsid w:val="71DD5D8A"/>
    <w:rsid w:val="71F44373"/>
    <w:rsid w:val="72516BBA"/>
    <w:rsid w:val="726C7BC5"/>
    <w:rsid w:val="728739A0"/>
    <w:rsid w:val="72C056DA"/>
    <w:rsid w:val="72DE31BE"/>
    <w:rsid w:val="7301173B"/>
    <w:rsid w:val="73060689"/>
    <w:rsid w:val="73745C59"/>
    <w:rsid w:val="73750CAB"/>
    <w:rsid w:val="737D3F22"/>
    <w:rsid w:val="73BC1A88"/>
    <w:rsid w:val="73C33FA4"/>
    <w:rsid w:val="73EF0A27"/>
    <w:rsid w:val="74104EBF"/>
    <w:rsid w:val="7425706B"/>
    <w:rsid w:val="74563A35"/>
    <w:rsid w:val="746630EE"/>
    <w:rsid w:val="748A3087"/>
    <w:rsid w:val="74AD326E"/>
    <w:rsid w:val="74BF17D2"/>
    <w:rsid w:val="74CA2DE6"/>
    <w:rsid w:val="74D47697"/>
    <w:rsid w:val="750A464A"/>
    <w:rsid w:val="75507436"/>
    <w:rsid w:val="75762283"/>
    <w:rsid w:val="759146B9"/>
    <w:rsid w:val="75C26EAF"/>
    <w:rsid w:val="75FF0E97"/>
    <w:rsid w:val="763C5608"/>
    <w:rsid w:val="76A462C0"/>
    <w:rsid w:val="76A66292"/>
    <w:rsid w:val="76C65C1C"/>
    <w:rsid w:val="76DB2BD2"/>
    <w:rsid w:val="76EF3AF4"/>
    <w:rsid w:val="76F60AF0"/>
    <w:rsid w:val="77027ECC"/>
    <w:rsid w:val="773779DD"/>
    <w:rsid w:val="77AA481E"/>
    <w:rsid w:val="7812530D"/>
    <w:rsid w:val="781634D3"/>
    <w:rsid w:val="781731A6"/>
    <w:rsid w:val="78173FE0"/>
    <w:rsid w:val="7823277A"/>
    <w:rsid w:val="783B3D8A"/>
    <w:rsid w:val="78764C2E"/>
    <w:rsid w:val="78D0130C"/>
    <w:rsid w:val="791D5745"/>
    <w:rsid w:val="79485FA4"/>
    <w:rsid w:val="795574AE"/>
    <w:rsid w:val="796C5916"/>
    <w:rsid w:val="796D40CF"/>
    <w:rsid w:val="797D317C"/>
    <w:rsid w:val="79836EA3"/>
    <w:rsid w:val="79B13E53"/>
    <w:rsid w:val="7A06663C"/>
    <w:rsid w:val="7A3E75BA"/>
    <w:rsid w:val="7A3F4C6A"/>
    <w:rsid w:val="7A496F71"/>
    <w:rsid w:val="7A5A1690"/>
    <w:rsid w:val="7A5D034D"/>
    <w:rsid w:val="7A6924DF"/>
    <w:rsid w:val="7AC47CF6"/>
    <w:rsid w:val="7ADD6AA3"/>
    <w:rsid w:val="7AF95911"/>
    <w:rsid w:val="7B1C4757"/>
    <w:rsid w:val="7B39674A"/>
    <w:rsid w:val="7BAF2650"/>
    <w:rsid w:val="7BB20B85"/>
    <w:rsid w:val="7C005D8C"/>
    <w:rsid w:val="7C4F67D7"/>
    <w:rsid w:val="7C5716CE"/>
    <w:rsid w:val="7CBB5C0D"/>
    <w:rsid w:val="7CF977E5"/>
    <w:rsid w:val="7D0B78AC"/>
    <w:rsid w:val="7D1E7E5E"/>
    <w:rsid w:val="7D3D4929"/>
    <w:rsid w:val="7D472F1D"/>
    <w:rsid w:val="7D514653"/>
    <w:rsid w:val="7D9921EA"/>
    <w:rsid w:val="7DAA55B2"/>
    <w:rsid w:val="7DBC150A"/>
    <w:rsid w:val="7DF31885"/>
    <w:rsid w:val="7E3A507B"/>
    <w:rsid w:val="7E6D01C6"/>
    <w:rsid w:val="7E88628C"/>
    <w:rsid w:val="7E950D99"/>
    <w:rsid w:val="7EB11EE8"/>
    <w:rsid w:val="7EB15A2B"/>
    <w:rsid w:val="7EC70001"/>
    <w:rsid w:val="7EDE1524"/>
    <w:rsid w:val="7EE16640"/>
    <w:rsid w:val="7F0F5E10"/>
    <w:rsid w:val="7F107AED"/>
    <w:rsid w:val="7F121988"/>
    <w:rsid w:val="7F13163D"/>
    <w:rsid w:val="7F690CD4"/>
    <w:rsid w:val="7F9442D5"/>
    <w:rsid w:val="7F9F1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4"/>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link w:val="30"/>
    <w:unhideWhenUsed/>
    <w:qFormat/>
    <w:uiPriority w:val="99"/>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link w:val="26"/>
    <w:qFormat/>
    <w:uiPriority w:val="0"/>
    <w:pPr>
      <w:spacing w:before="240" w:after="60"/>
      <w:jc w:val="center"/>
      <w:outlineLvl w:val="0"/>
    </w:pPr>
    <w:rPr>
      <w:rFonts w:asciiTheme="majorHAnsi" w:hAnsiTheme="majorHAnsi" w:cstheme="majorBidi"/>
      <w:b/>
      <w:bCs/>
      <w:sz w:val="32"/>
      <w:szCs w:val="32"/>
    </w:rPr>
  </w:style>
  <w:style w:type="paragraph" w:styleId="8">
    <w:name w:val="Date"/>
    <w:basedOn w:val="1"/>
    <w:next w:val="1"/>
    <w:link w:val="32"/>
    <w:unhideWhenUsed/>
    <w:qFormat/>
    <w:uiPriority w:val="99"/>
    <w:pPr>
      <w:ind w:left="100" w:leftChars="2500"/>
    </w:pPr>
  </w:style>
  <w:style w:type="paragraph" w:styleId="9">
    <w:name w:val="Balloon Text"/>
    <w:basedOn w:val="1"/>
    <w:link w:val="29"/>
    <w:unhideWhenUsed/>
    <w:qFormat/>
    <w:uiPriority w:val="99"/>
    <w:rPr>
      <w:sz w:val="18"/>
      <w:szCs w:val="18"/>
    </w:rPr>
  </w:style>
  <w:style w:type="paragraph" w:styleId="10">
    <w:name w:val="footer"/>
    <w:basedOn w:val="1"/>
    <w:link w:val="28"/>
    <w:unhideWhenUsed/>
    <w:qFormat/>
    <w:uiPriority w:val="99"/>
    <w:pPr>
      <w:tabs>
        <w:tab w:val="center" w:pos="4153"/>
        <w:tab w:val="right" w:pos="8306"/>
      </w:tabs>
      <w:snapToGrid w:val="0"/>
      <w:jc w:val="left"/>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footnote text"/>
    <w:basedOn w:val="1"/>
    <w:qFormat/>
    <w:uiPriority w:val="0"/>
    <w:pPr>
      <w:snapToGrid w:val="0"/>
      <w:jc w:val="left"/>
    </w:pPr>
    <w:rPr>
      <w:rFonts w:ascii="Calibri" w:hAnsi="Calibri"/>
      <w:sz w:val="18"/>
      <w:szCs w:val="18"/>
    </w:rPr>
  </w:style>
  <w:style w:type="paragraph" w:styleId="14">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5">
    <w:name w:val="annotation subject"/>
    <w:basedOn w:val="5"/>
    <w:next w:val="5"/>
    <w:link w:val="31"/>
    <w:unhideWhenUsed/>
    <w:qFormat/>
    <w:uiPriority w:val="99"/>
    <w:rPr>
      <w:b/>
      <w:bCs/>
    </w:rPr>
  </w:style>
  <w:style w:type="table" w:styleId="17">
    <w:name w:val="Table Grid"/>
    <w:basedOn w:val="16"/>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styleId="20">
    <w:name w:val="annotation reference"/>
    <w:basedOn w:val="18"/>
    <w:unhideWhenUsed/>
    <w:qFormat/>
    <w:uiPriority w:val="99"/>
    <w:rPr>
      <w:sz w:val="21"/>
      <w:szCs w:val="21"/>
    </w:rPr>
  </w:style>
  <w:style w:type="character" w:styleId="21">
    <w:name w:val="footnote reference"/>
    <w:qFormat/>
    <w:uiPriority w:val="0"/>
    <w:rPr>
      <w:rFonts w:cs="Times New Roman"/>
      <w:vertAlign w:val="superscript"/>
    </w:rPr>
  </w:style>
  <w:style w:type="paragraph" w:customStyle="1" w:styleId="22">
    <w:name w:val="目录 21"/>
    <w:basedOn w:val="1"/>
    <w:next w:val="1"/>
    <w:qFormat/>
    <w:uiPriority w:val="0"/>
    <w:pPr>
      <w:spacing w:before="100" w:beforeAutospacing="1" w:after="100" w:afterAutospacing="1"/>
      <w:ind w:left="420" w:leftChars="200"/>
    </w:pPr>
  </w:style>
  <w:style w:type="character" w:customStyle="1" w:styleId="23">
    <w:name w:val="标题 1 Char"/>
    <w:link w:val="3"/>
    <w:qFormat/>
    <w:uiPriority w:val="0"/>
    <w:rPr>
      <w:b/>
      <w:bCs/>
      <w:kern w:val="44"/>
      <w:sz w:val="44"/>
      <w:szCs w:val="44"/>
    </w:rPr>
  </w:style>
  <w:style w:type="character" w:customStyle="1" w:styleId="24">
    <w:name w:val="标题 2 Char"/>
    <w:link w:val="4"/>
    <w:qFormat/>
    <w:uiPriority w:val="0"/>
    <w:rPr>
      <w:rFonts w:ascii="Cambria" w:hAnsi="Cambria"/>
      <w:b/>
      <w:bCs/>
      <w:kern w:val="2"/>
      <w:sz w:val="32"/>
      <w:szCs w:val="32"/>
    </w:rPr>
  </w:style>
  <w:style w:type="paragraph" w:customStyle="1" w:styleId="25">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6">
    <w:name w:val="标题 Char"/>
    <w:basedOn w:val="18"/>
    <w:link w:val="7"/>
    <w:qFormat/>
    <w:uiPriority w:val="0"/>
    <w:rPr>
      <w:rFonts w:asciiTheme="majorHAnsi" w:hAnsiTheme="majorHAnsi" w:cstheme="majorBidi"/>
      <w:b/>
      <w:bCs/>
      <w:kern w:val="2"/>
      <w:sz w:val="32"/>
      <w:szCs w:val="32"/>
    </w:rPr>
  </w:style>
  <w:style w:type="character" w:customStyle="1" w:styleId="27">
    <w:name w:val="页眉 Char"/>
    <w:basedOn w:val="18"/>
    <w:link w:val="11"/>
    <w:qFormat/>
    <w:uiPriority w:val="99"/>
    <w:rPr>
      <w:kern w:val="2"/>
      <w:sz w:val="18"/>
      <w:szCs w:val="18"/>
    </w:rPr>
  </w:style>
  <w:style w:type="character" w:customStyle="1" w:styleId="28">
    <w:name w:val="页脚 Char"/>
    <w:basedOn w:val="18"/>
    <w:link w:val="10"/>
    <w:qFormat/>
    <w:uiPriority w:val="99"/>
    <w:rPr>
      <w:kern w:val="2"/>
      <w:sz w:val="18"/>
      <w:szCs w:val="18"/>
    </w:rPr>
  </w:style>
  <w:style w:type="character" w:customStyle="1" w:styleId="29">
    <w:name w:val="批注框文本 Char"/>
    <w:basedOn w:val="18"/>
    <w:link w:val="9"/>
    <w:semiHidden/>
    <w:qFormat/>
    <w:uiPriority w:val="99"/>
    <w:rPr>
      <w:kern w:val="2"/>
      <w:sz w:val="18"/>
      <w:szCs w:val="18"/>
    </w:rPr>
  </w:style>
  <w:style w:type="character" w:customStyle="1" w:styleId="30">
    <w:name w:val="批注文字 Char"/>
    <w:basedOn w:val="18"/>
    <w:link w:val="5"/>
    <w:semiHidden/>
    <w:qFormat/>
    <w:uiPriority w:val="99"/>
    <w:rPr>
      <w:kern w:val="2"/>
      <w:sz w:val="21"/>
      <w:szCs w:val="24"/>
    </w:rPr>
  </w:style>
  <w:style w:type="character" w:customStyle="1" w:styleId="31">
    <w:name w:val="批注主题 Char"/>
    <w:basedOn w:val="30"/>
    <w:link w:val="15"/>
    <w:semiHidden/>
    <w:qFormat/>
    <w:uiPriority w:val="99"/>
    <w:rPr>
      <w:b/>
      <w:bCs/>
      <w:kern w:val="2"/>
      <w:sz w:val="21"/>
      <w:szCs w:val="24"/>
    </w:rPr>
  </w:style>
  <w:style w:type="character" w:customStyle="1" w:styleId="32">
    <w:name w:val="日期 Char"/>
    <w:basedOn w:val="18"/>
    <w:link w:val="8"/>
    <w:semiHidden/>
    <w:qFormat/>
    <w:uiPriority w:val="99"/>
    <w:rPr>
      <w:kern w:val="2"/>
      <w:sz w:val="21"/>
      <w:szCs w:val="24"/>
    </w:rPr>
  </w:style>
  <w:style w:type="paragraph" w:customStyle="1" w:styleId="33">
    <w:name w:val="默认段落字体 Para Char Char Char Char Char Char Char Char Char Char"/>
    <w:basedOn w:val="1"/>
    <w:qFormat/>
    <w:uiPriority w:val="0"/>
    <w:rPr>
      <w:rFonts w:ascii="Calibri" w:hAnsi="Calibri"/>
    </w:rPr>
  </w:style>
  <w:style w:type="paragraph" w:customStyle="1" w:styleId="34">
    <w:name w:val="列出段落1"/>
    <w:basedOn w:val="1"/>
    <w:unhideWhenUsed/>
    <w:qFormat/>
    <w:uiPriority w:val="99"/>
    <w:pPr>
      <w:ind w:firstLine="420" w:firstLineChars="200"/>
    </w:pPr>
  </w:style>
  <w:style w:type="paragraph" w:customStyle="1" w:styleId="3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C53ED-A9D9-4C27-ADF6-6B99041B8EB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2158</Words>
  <Characters>12304</Characters>
  <Lines>102</Lines>
  <Paragraphs>28</Paragraphs>
  <TotalTime>5</TotalTime>
  <ScaleCrop>false</ScaleCrop>
  <LinksUpToDate>false</LinksUpToDate>
  <CharactersWithSpaces>14434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2016-12-19T06:33:00Z</dcterms:created>
  <dc:creator>Dell</dc:creator>
  <cp:lastModifiedBy>农植贵</cp:lastModifiedBy>
  <cp:lastPrinted>2017-01-05T02:27:00Z</cp:lastPrinted>
  <dcterms:modified xsi:type="dcterms:W3CDTF">2024-12-12T01:22:18Z</dcterms:modified>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16F01B91FDB04D66A3E47E322AD7DAC1</vt:lpwstr>
  </property>
</Properties>
</file>