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rPr>
          <w:color w:val="auto"/>
        </w:rPr>
      </w:pPr>
      <w:r>
        <w:rPr>
          <w:color w:val="auto"/>
        </w:rPr>
        <w:t>合同编号：</w:t>
      </w:r>
    </w:p>
    <w:p>
      <w:pPr>
        <w:pStyle w:val="17"/>
        <w:rPr>
          <w:color w:val="auto"/>
        </w:rPr>
      </w:pPr>
    </w:p>
    <w:p>
      <w:pPr>
        <w:rPr>
          <w:color w:val="auto"/>
        </w:rPr>
      </w:pPr>
    </w:p>
    <w:p>
      <w:pPr>
        <w:pStyle w:val="17"/>
        <w:rPr>
          <w:color w:val="auto"/>
        </w:rPr>
      </w:pPr>
    </w:p>
    <w:p>
      <w:pPr>
        <w:spacing w:line="360" w:lineRule="auto"/>
        <w:jc w:val="center"/>
        <w:rPr>
          <w:rFonts w:ascii="黑体" w:hAnsi="黑体" w:eastAsia="黑体" w:cs="黑体"/>
          <w:b/>
          <w:color w:val="auto"/>
          <w:sz w:val="48"/>
          <w:szCs w:val="48"/>
        </w:rPr>
      </w:pPr>
      <w:r>
        <w:rPr>
          <w:rFonts w:hint="eastAsia" w:ascii="黑体" w:hAnsi="黑体" w:eastAsia="黑体" w:cs="黑体"/>
          <w:b/>
          <w:color w:val="auto"/>
          <w:sz w:val="48"/>
          <w:szCs w:val="48"/>
        </w:rPr>
        <w:t>广西电力市场零售服务合同</w:t>
      </w:r>
    </w:p>
    <w:p>
      <w:pPr>
        <w:pStyle w:val="17"/>
        <w:jc w:val="center"/>
        <w:rPr>
          <w:rFonts w:hint="eastAsia" w:eastAsiaTheme="minorEastAsia"/>
          <w:color w:val="auto"/>
          <w:lang w:eastAsia="zh-CN"/>
        </w:rPr>
      </w:pPr>
      <w:r>
        <w:rPr>
          <w:rFonts w:hint="eastAsia" w:asciiTheme="minorEastAsia" w:hAnsiTheme="minorEastAsia"/>
          <w:b/>
          <w:color w:val="auto"/>
          <w:sz w:val="44"/>
          <w:szCs w:val="44"/>
        </w:rPr>
        <w:t>（范本</w:t>
      </w:r>
      <w:r>
        <w:rPr>
          <w:rFonts w:hint="eastAsia" w:asciiTheme="minorEastAsia" w:hAnsiTheme="minorEastAsia"/>
          <w:b/>
          <w:color w:val="auto"/>
          <w:sz w:val="44"/>
          <w:szCs w:val="44"/>
          <w:lang w:val="en-US" w:eastAsia="zh-CN"/>
        </w:rPr>
        <w:t>-合同变更</w:t>
      </w:r>
      <w:r>
        <w:rPr>
          <w:rFonts w:hint="eastAsia" w:asciiTheme="minorEastAsia" w:hAnsiTheme="minorEastAsia"/>
          <w:b/>
          <w:color w:val="auto"/>
          <w:sz w:val="44"/>
          <w:szCs w:val="44"/>
        </w:rPr>
        <w:t>）</w:t>
      </w:r>
    </w:p>
    <w:p>
      <w:pPr>
        <w:rPr>
          <w:rFonts w:asciiTheme="minorEastAsia" w:hAnsiTheme="minorEastAsia"/>
          <w:color w:val="auto"/>
          <w:sz w:val="32"/>
          <w:szCs w:val="32"/>
        </w:rPr>
      </w:pPr>
    </w:p>
    <w:p>
      <w:pPr>
        <w:rPr>
          <w:rFonts w:asciiTheme="minorEastAsia" w:hAnsiTheme="minorEastAsia"/>
          <w:color w:val="auto"/>
          <w:sz w:val="32"/>
          <w:szCs w:val="32"/>
        </w:rPr>
      </w:pPr>
    </w:p>
    <w:p>
      <w:pPr>
        <w:rPr>
          <w:rFonts w:asciiTheme="minorEastAsia" w:hAnsiTheme="minorEastAsia"/>
          <w:color w:val="auto"/>
          <w:sz w:val="32"/>
          <w:szCs w:val="32"/>
        </w:rPr>
      </w:pPr>
    </w:p>
    <w:p>
      <w:pPr>
        <w:rPr>
          <w:rFonts w:asciiTheme="minorEastAsia" w:hAnsiTheme="minorEastAsia"/>
          <w:color w:val="auto"/>
          <w:sz w:val="32"/>
          <w:szCs w:val="32"/>
        </w:rPr>
      </w:pPr>
    </w:p>
    <w:p>
      <w:pPr>
        <w:rPr>
          <w:rFonts w:asciiTheme="minorEastAsia" w:hAnsiTheme="minorEastAsia"/>
          <w:b/>
          <w:color w:val="auto"/>
          <w:sz w:val="32"/>
          <w:szCs w:val="32"/>
        </w:rPr>
      </w:pPr>
    </w:p>
    <w:p>
      <w:pPr>
        <w:jc w:val="center"/>
        <w:rPr>
          <w:rFonts w:asciiTheme="minorEastAsia" w:hAnsiTheme="minorEastAsia"/>
          <w:b/>
          <w:color w:val="auto"/>
          <w:sz w:val="32"/>
          <w:szCs w:val="32"/>
        </w:rPr>
      </w:pPr>
    </w:p>
    <w:p>
      <w:pPr>
        <w:jc w:val="center"/>
        <w:rPr>
          <w:rFonts w:asciiTheme="minorEastAsia" w:hAnsiTheme="minorEastAsia"/>
          <w:b/>
          <w:color w:val="auto"/>
          <w:sz w:val="32"/>
          <w:szCs w:val="32"/>
        </w:rPr>
      </w:pPr>
    </w:p>
    <w:p>
      <w:pPr>
        <w:ind w:firstLine="1606" w:firstLineChars="500"/>
        <w:rPr>
          <w:rFonts w:asciiTheme="minorEastAsia" w:hAnsiTheme="minorEastAsia"/>
          <w:b/>
          <w:color w:val="auto"/>
          <w:sz w:val="32"/>
          <w:szCs w:val="32"/>
        </w:rPr>
      </w:pPr>
    </w:p>
    <w:p>
      <w:pPr>
        <w:spacing w:line="360" w:lineRule="auto"/>
        <w:ind w:firstLine="1285" w:firstLineChars="400"/>
        <w:jc w:val="left"/>
        <w:rPr>
          <w:rFonts w:ascii="黑体" w:hAnsi="黑体" w:eastAsia="黑体" w:cs="黑体"/>
          <w:b/>
          <w:color w:val="auto"/>
          <w:sz w:val="32"/>
          <w:szCs w:val="32"/>
        </w:rPr>
      </w:pPr>
      <w:r>
        <w:rPr>
          <w:rFonts w:hint="eastAsia" w:ascii="黑体" w:hAnsi="黑体" w:eastAsia="黑体" w:cs="黑体"/>
          <w:b/>
          <w:color w:val="auto"/>
          <w:sz w:val="32"/>
          <w:szCs w:val="32"/>
        </w:rPr>
        <w:t xml:space="preserve">甲方（电力用户）： </w:t>
      </w:r>
    </w:p>
    <w:p>
      <w:pPr>
        <w:spacing w:line="360" w:lineRule="auto"/>
        <w:ind w:firstLine="1285" w:firstLineChars="400"/>
        <w:jc w:val="left"/>
        <w:rPr>
          <w:rFonts w:ascii="黑体" w:hAnsi="黑体" w:eastAsia="黑体" w:cs="黑体"/>
          <w:b/>
          <w:color w:val="auto"/>
          <w:sz w:val="32"/>
          <w:szCs w:val="32"/>
        </w:rPr>
      </w:pPr>
      <w:r>
        <w:rPr>
          <w:rFonts w:hint="eastAsia" w:ascii="黑体" w:hAnsi="黑体" w:eastAsia="黑体" w:cs="黑体"/>
          <w:b/>
          <w:color w:val="auto"/>
          <w:sz w:val="32"/>
          <w:szCs w:val="32"/>
        </w:rPr>
        <w:t xml:space="preserve">乙方（售电公司）： </w:t>
      </w:r>
    </w:p>
    <w:p>
      <w:pPr>
        <w:rPr>
          <w:rFonts w:asciiTheme="minorEastAsia" w:hAnsiTheme="minorEastAsia"/>
          <w:color w:val="auto"/>
          <w:sz w:val="32"/>
          <w:szCs w:val="32"/>
        </w:rPr>
      </w:pPr>
    </w:p>
    <w:p>
      <w:pPr>
        <w:pStyle w:val="17"/>
        <w:rPr>
          <w:color w:val="auto"/>
        </w:rPr>
      </w:pPr>
    </w:p>
    <w:p>
      <w:pPr>
        <w:jc w:val="center"/>
        <w:rPr>
          <w:rFonts w:ascii="黑体" w:hAnsi="黑体" w:eastAsia="黑体" w:cs="黑体"/>
          <w:b/>
          <w:color w:val="auto"/>
          <w:sz w:val="32"/>
          <w:szCs w:val="32"/>
        </w:rPr>
      </w:pPr>
      <w:r>
        <w:rPr>
          <w:rFonts w:hint="eastAsia" w:ascii="黑体" w:hAnsi="黑体" w:eastAsia="黑体" w:cs="黑体"/>
          <w:b/>
          <w:color w:val="auto"/>
          <w:sz w:val="32"/>
          <w:szCs w:val="32"/>
        </w:rPr>
        <w:t>签订时间：20   年  月</w:t>
      </w:r>
    </w:p>
    <w:p>
      <w:pPr>
        <w:spacing w:beforeLines="150" w:afterLines="150" w:line="600" w:lineRule="exact"/>
        <w:jc w:val="center"/>
        <w:rPr>
          <w:rFonts w:eastAsia="黑体"/>
          <w:color w:val="auto"/>
          <w:kern w:val="0"/>
          <w:sz w:val="32"/>
          <w:szCs w:val="32"/>
        </w:rPr>
        <w:sectPr>
          <w:pgSz w:w="11906" w:h="16838"/>
          <w:pgMar w:top="1440" w:right="1886" w:bottom="1440" w:left="1820" w:header="851" w:footer="992" w:gutter="0"/>
          <w:cols w:space="425" w:num="1"/>
          <w:docGrid w:type="lines" w:linePitch="312" w:charSpace="0"/>
        </w:sectPr>
      </w:pPr>
    </w:p>
    <w:p>
      <w:pPr>
        <w:spacing w:beforeLines="150" w:afterLines="150" w:line="600" w:lineRule="exact"/>
        <w:jc w:val="center"/>
        <w:rPr>
          <w:rFonts w:eastAsia="黑体"/>
          <w:color w:val="auto"/>
          <w:kern w:val="0"/>
          <w:sz w:val="32"/>
          <w:szCs w:val="32"/>
        </w:rPr>
      </w:pPr>
      <w:r>
        <w:rPr>
          <w:rFonts w:eastAsia="黑体"/>
          <w:color w:val="auto"/>
          <w:kern w:val="0"/>
          <w:sz w:val="36"/>
          <w:szCs w:val="36"/>
        </w:rPr>
        <w:t>使用说明</w:t>
      </w:r>
    </w:p>
    <w:p>
      <w:pPr>
        <w:tabs>
          <w:tab w:val="left" w:pos="1260"/>
        </w:tabs>
        <w:ind w:firstLine="560" w:firstLineChars="200"/>
        <w:rPr>
          <w:rFonts w:asciiTheme="minorEastAsia" w:hAnsiTheme="minorEastAsia" w:cstheme="minorEastAsia"/>
          <w:color w:val="auto"/>
          <w:sz w:val="28"/>
          <w:szCs w:val="28"/>
        </w:rPr>
      </w:pPr>
      <w:r>
        <w:rPr>
          <w:rFonts w:hint="eastAsia" w:asciiTheme="minorEastAsia" w:hAnsiTheme="minorEastAsia" w:cstheme="minorEastAsia"/>
          <w:color w:val="auto"/>
          <w:sz w:val="28"/>
          <w:szCs w:val="28"/>
        </w:rPr>
        <w:t>一、《广西电力市场零售服务合同（范本</w:t>
      </w:r>
      <w:r>
        <w:rPr>
          <w:rFonts w:hint="eastAsia" w:asciiTheme="minorEastAsia" w:hAnsiTheme="minorEastAsia" w:cstheme="minorEastAsia"/>
          <w:color w:val="auto"/>
          <w:sz w:val="28"/>
          <w:szCs w:val="28"/>
          <w:lang w:val="en-US" w:eastAsia="zh-CN"/>
        </w:rPr>
        <w:t>-合同变更</w:t>
      </w:r>
      <w:r>
        <w:rPr>
          <w:rFonts w:hint="eastAsia" w:asciiTheme="minorEastAsia" w:hAnsiTheme="minorEastAsia" w:cstheme="minorEastAsia"/>
          <w:color w:val="auto"/>
          <w:sz w:val="28"/>
          <w:szCs w:val="28"/>
        </w:rPr>
        <w:t>）》（以下简称“范本”）适用于按照电力交易规则、年度交易实施方案细则、交易通知等要求参加广西电力零售市场的售电公司与电力用户。</w:t>
      </w:r>
    </w:p>
    <w:p>
      <w:pPr>
        <w:widowControl/>
        <w:ind w:firstLine="640"/>
        <w:jc w:val="left"/>
        <w:rPr>
          <w:rFonts w:asciiTheme="minorEastAsia" w:hAnsiTheme="minorEastAsia" w:cstheme="minorEastAsia"/>
          <w:color w:val="auto"/>
          <w:sz w:val="28"/>
          <w:szCs w:val="28"/>
        </w:rPr>
      </w:pPr>
      <w:r>
        <w:rPr>
          <w:rFonts w:hint="eastAsia" w:asciiTheme="minorEastAsia" w:hAnsiTheme="minorEastAsia" w:cstheme="minorEastAsia"/>
          <w:color w:val="auto"/>
          <w:sz w:val="28"/>
          <w:szCs w:val="28"/>
        </w:rPr>
        <w:t>二、本范本适用于售电公司与电力用户在广西电力市场开展的零售结算，在</w:t>
      </w:r>
      <w:r>
        <w:rPr>
          <w:rFonts w:hint="eastAsia" w:asciiTheme="minorEastAsia" w:hAnsiTheme="minorEastAsia" w:cstheme="minorEastAsia"/>
          <w:color w:val="auto"/>
          <w:sz w:val="28"/>
          <w:szCs w:val="28"/>
          <w:lang w:eastAsia="zh-CN"/>
        </w:rPr>
        <w:t>电力交易平台</w:t>
      </w:r>
      <w:r>
        <w:rPr>
          <w:rFonts w:hint="eastAsia" w:asciiTheme="minorEastAsia" w:hAnsiTheme="minorEastAsia" w:cstheme="minorEastAsia"/>
          <w:color w:val="auto"/>
          <w:sz w:val="28"/>
          <w:szCs w:val="28"/>
        </w:rPr>
        <w:t>进行存档，实现电子合同全流程管理。</w:t>
      </w:r>
    </w:p>
    <w:p>
      <w:pPr>
        <w:ind w:firstLine="560" w:firstLineChars="200"/>
        <w:rPr>
          <w:color w:val="auto"/>
        </w:rPr>
      </w:pPr>
      <w:r>
        <w:rPr>
          <w:rFonts w:hint="eastAsia" w:asciiTheme="minorEastAsia" w:hAnsiTheme="minorEastAsia" w:cstheme="minorEastAsia"/>
          <w:color w:val="auto"/>
          <w:sz w:val="28"/>
          <w:szCs w:val="28"/>
        </w:rPr>
        <w:t>三、本参考文本若与现行有效的市场交易规则或年度交易实施方案冲突，以市场交易规则或年度交易实施方案为准。</w:t>
      </w:r>
    </w:p>
    <w:p>
      <w:pPr>
        <w:jc w:val="center"/>
        <w:rPr>
          <w:rFonts w:asciiTheme="minorEastAsia" w:hAnsiTheme="minorEastAsia"/>
          <w:b/>
          <w:color w:val="auto"/>
          <w:sz w:val="32"/>
          <w:szCs w:val="32"/>
        </w:rPr>
      </w:pPr>
    </w:p>
    <w:p>
      <w:pPr>
        <w:jc w:val="center"/>
        <w:rPr>
          <w:rFonts w:asciiTheme="minorEastAsia" w:hAnsiTheme="minorEastAsia"/>
          <w:b/>
          <w:color w:val="auto"/>
          <w:sz w:val="32"/>
          <w:szCs w:val="32"/>
        </w:rPr>
      </w:pPr>
    </w:p>
    <w:p>
      <w:pPr>
        <w:jc w:val="center"/>
        <w:rPr>
          <w:rFonts w:ascii="黑体" w:hAnsi="黑体" w:eastAsia="黑体" w:cs="黑体"/>
          <w:color w:val="auto"/>
          <w:sz w:val="30"/>
          <w:szCs w:val="30"/>
        </w:rPr>
        <w:sectPr>
          <w:footerReference r:id="rId3" w:type="default"/>
          <w:pgSz w:w="11906" w:h="16838"/>
          <w:pgMar w:top="1440" w:right="1886" w:bottom="1440" w:left="1820" w:header="851" w:footer="992" w:gutter="0"/>
          <w:pgNumType w:start="1"/>
          <w:cols w:space="425" w:num="1"/>
          <w:docGrid w:type="lines" w:linePitch="312" w:charSpace="0"/>
        </w:sectPr>
      </w:pPr>
    </w:p>
    <w:sdt>
      <w:sdtPr>
        <w:rPr>
          <w:rFonts w:ascii="宋体" w:hAnsi="宋体" w:eastAsia="宋体"/>
          <w:color w:val="auto"/>
          <w:kern w:val="0"/>
          <w:szCs w:val="20"/>
        </w:rPr>
        <w:id w:val="147476756"/>
      </w:sdtPr>
      <w:sdtEndPr>
        <w:rPr>
          <w:rFonts w:asciiTheme="minorHAnsi" w:hAnsiTheme="minorHAnsi" w:eastAsiaTheme="minorHAnsi"/>
          <w:color w:val="auto"/>
          <w:kern w:val="0"/>
          <w:sz w:val="20"/>
          <w:szCs w:val="20"/>
        </w:rPr>
      </w:sdtEndPr>
      <w:sdtContent>
        <w:p>
          <w:pPr>
            <w:jc w:val="center"/>
            <w:rPr>
              <w:color w:val="auto"/>
            </w:rPr>
          </w:pPr>
        </w:p>
        <w:sdt>
          <w:sdtPr>
            <w:rPr>
              <w:rFonts w:ascii="宋体" w:hAnsi="宋体" w:eastAsia="宋体"/>
              <w:color w:val="auto"/>
              <w:kern w:val="0"/>
              <w:szCs w:val="20"/>
            </w:rPr>
            <w:id w:val="147464853"/>
          </w:sdtPr>
          <w:sdtEndPr>
            <w:rPr>
              <w:rFonts w:asciiTheme="minorHAnsi" w:hAnsiTheme="minorHAnsi" w:eastAsiaTheme="minorHAnsi"/>
              <w:color w:val="auto"/>
              <w:kern w:val="0"/>
              <w:sz w:val="20"/>
              <w:szCs w:val="20"/>
            </w:rPr>
          </w:sdtEndPr>
          <w:sdtContent>
            <w:p>
              <w:pPr>
                <w:jc w:val="center"/>
                <w:rPr>
                  <w:color w:val="auto"/>
                </w:rPr>
              </w:pPr>
            </w:p>
            <w:p>
              <w:pPr>
                <w:jc w:val="center"/>
                <w:rPr>
                  <w:color w:val="auto"/>
                  <w:sz w:val="28"/>
                  <w:szCs w:val="28"/>
                </w:rPr>
              </w:pPr>
              <w:r>
                <w:rPr>
                  <w:rFonts w:hint="eastAsia" w:ascii="黑体" w:hAnsi="黑体" w:eastAsia="黑体" w:cs="黑体"/>
                  <w:color w:val="auto"/>
                  <w:sz w:val="44"/>
                  <w:szCs w:val="44"/>
                </w:rPr>
                <w:t>目  录</w:t>
              </w:r>
              <w:r>
                <w:rPr>
                  <w:color w:val="auto"/>
                  <w:sz w:val="28"/>
                  <w:szCs w:val="28"/>
                </w:rPr>
                <w:fldChar w:fldCharType="begin"/>
              </w:r>
              <w:r>
                <w:rPr>
                  <w:color w:val="auto"/>
                  <w:sz w:val="28"/>
                  <w:szCs w:val="28"/>
                </w:rPr>
                <w:instrText xml:space="preserve"> HYPERLINK \l _Toc8863 </w:instrText>
              </w:r>
              <w:r>
                <w:rPr>
                  <w:color w:val="auto"/>
                  <w:sz w:val="28"/>
                  <w:szCs w:val="28"/>
                </w:rPr>
                <w:fldChar w:fldCharType="separate"/>
              </w:r>
            </w:p>
            <w:sdt>
              <w:sdtPr>
                <w:rPr>
                  <w:rFonts w:ascii="宋体" w:hAnsi="宋体" w:eastAsia="宋体"/>
                  <w:color w:val="auto"/>
                  <w:kern w:val="2"/>
                  <w:sz w:val="21"/>
                  <w:szCs w:val="24"/>
                </w:rPr>
                <w:id w:val="147467483"/>
                <w:docPartObj>
                  <w:docPartGallery w:val="Table of Contents"/>
                  <w:docPartUnique/>
                </w:docPartObj>
              </w:sdtPr>
              <w:sdtEndPr>
                <w:rPr>
                  <w:rFonts w:hint="eastAsia" w:ascii="宋体" w:hAnsi="宋体" w:eastAsia="宋体" w:cs="宋体"/>
                  <w:color w:val="auto"/>
                  <w:kern w:val="2"/>
                  <w:sz w:val="28"/>
                  <w:szCs w:val="28"/>
                </w:rPr>
              </w:sdtEndPr>
              <w:sdtContent>
                <w:p>
                  <w:pPr>
                    <w:pStyle w:val="18"/>
                    <w:tabs>
                      <w:tab w:val="right" w:leader="dot" w:pos="8200"/>
                    </w:tabs>
                    <w:rPr>
                      <w:rFonts w:ascii="宋体" w:hAnsi="宋体" w:eastAsia="宋体" w:cs="宋体"/>
                      <w:color w:val="auto"/>
                      <w:sz w:val="28"/>
                      <w:szCs w:val="28"/>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TOC \o "1-1" \h \u </w:instrText>
                  </w:r>
                  <w:r>
                    <w:rPr>
                      <w:rFonts w:hint="eastAsia" w:ascii="宋体" w:hAnsi="宋体" w:eastAsia="宋体" w:cs="宋体"/>
                      <w:color w:val="auto"/>
                      <w:sz w:val="28"/>
                      <w:szCs w:val="28"/>
                    </w:rPr>
                    <w:fldChar w:fldCharType="separate"/>
                  </w:r>
                </w:p>
                <w:p>
                  <w:pPr>
                    <w:pStyle w:val="12"/>
                    <w:tabs>
                      <w:tab w:val="right" w:leader="dot" w:pos="8200"/>
                    </w:tabs>
                    <w:rPr>
                      <w:rFonts w:ascii="宋体" w:hAnsi="宋体" w:eastAsia="宋体" w:cs="宋体"/>
                      <w:color w:val="auto"/>
                      <w:sz w:val="28"/>
                      <w:szCs w:val="28"/>
                    </w:rPr>
                  </w:pPr>
                  <w:r>
                    <w:rPr>
                      <w:color w:val="auto"/>
                    </w:rPr>
                    <w:fldChar w:fldCharType="begin"/>
                  </w:r>
                  <w:r>
                    <w:rPr>
                      <w:color w:val="auto"/>
                    </w:rPr>
                    <w:instrText xml:space="preserve"> HYPERLINK \l "_Toc8784" </w:instrText>
                  </w:r>
                  <w:r>
                    <w:rPr>
                      <w:color w:val="auto"/>
                    </w:rPr>
                    <w:fldChar w:fldCharType="separate"/>
                  </w:r>
                  <w:r>
                    <w:rPr>
                      <w:rFonts w:hint="eastAsia" w:ascii="宋体" w:hAnsi="宋体" w:eastAsia="宋体" w:cs="宋体"/>
                      <w:color w:val="auto"/>
                      <w:sz w:val="28"/>
                      <w:szCs w:val="28"/>
                    </w:rPr>
                    <w:t>第1章　定义和说明</w:t>
                  </w:r>
                  <w:r>
                    <w:rPr>
                      <w:rFonts w:hint="eastAsia" w:ascii="宋体" w:hAnsi="宋体" w:eastAsia="宋体" w:cs="宋体"/>
                      <w:color w:val="auto"/>
                      <w:sz w:val="28"/>
                      <w:szCs w:val="28"/>
                    </w:rPr>
                    <w:tab/>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PAGEREF _Toc8784 \h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2</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rPr>
                    <w:fldChar w:fldCharType="end"/>
                  </w:r>
                </w:p>
                <w:p>
                  <w:pPr>
                    <w:pStyle w:val="12"/>
                    <w:tabs>
                      <w:tab w:val="right" w:leader="dot" w:pos="8200"/>
                    </w:tabs>
                    <w:rPr>
                      <w:rFonts w:ascii="宋体" w:hAnsi="宋体" w:eastAsia="宋体" w:cs="宋体"/>
                      <w:color w:val="auto"/>
                      <w:sz w:val="28"/>
                      <w:szCs w:val="28"/>
                    </w:rPr>
                  </w:pPr>
                  <w:r>
                    <w:rPr>
                      <w:color w:val="auto"/>
                    </w:rPr>
                    <w:fldChar w:fldCharType="begin"/>
                  </w:r>
                  <w:r>
                    <w:rPr>
                      <w:color w:val="auto"/>
                    </w:rPr>
                    <w:instrText xml:space="preserve"> HYPERLINK \l "_Toc19762" </w:instrText>
                  </w:r>
                  <w:r>
                    <w:rPr>
                      <w:color w:val="auto"/>
                    </w:rPr>
                    <w:fldChar w:fldCharType="separate"/>
                  </w:r>
                  <w:r>
                    <w:rPr>
                      <w:rFonts w:hint="eastAsia" w:ascii="宋体" w:hAnsi="宋体" w:eastAsia="宋体" w:cs="宋体"/>
                      <w:color w:val="auto"/>
                      <w:sz w:val="28"/>
                      <w:szCs w:val="28"/>
                    </w:rPr>
                    <w:t>第2章　双方陈述</w:t>
                  </w:r>
                  <w:r>
                    <w:rPr>
                      <w:rFonts w:hint="eastAsia" w:ascii="宋体" w:hAnsi="宋体" w:eastAsia="宋体" w:cs="宋体"/>
                      <w:color w:val="auto"/>
                      <w:sz w:val="28"/>
                      <w:szCs w:val="28"/>
                    </w:rPr>
                    <w:tab/>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PAGEREF _Toc19762 \h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4</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rPr>
                    <w:fldChar w:fldCharType="end"/>
                  </w:r>
                </w:p>
                <w:p>
                  <w:pPr>
                    <w:pStyle w:val="12"/>
                    <w:tabs>
                      <w:tab w:val="right" w:leader="dot" w:pos="8200"/>
                    </w:tabs>
                    <w:rPr>
                      <w:rFonts w:ascii="宋体" w:hAnsi="宋体" w:eastAsia="宋体" w:cs="宋体"/>
                      <w:color w:val="auto"/>
                      <w:sz w:val="28"/>
                      <w:szCs w:val="28"/>
                    </w:rPr>
                  </w:pPr>
                  <w:r>
                    <w:rPr>
                      <w:color w:val="auto"/>
                    </w:rPr>
                    <w:fldChar w:fldCharType="begin"/>
                  </w:r>
                  <w:r>
                    <w:rPr>
                      <w:color w:val="auto"/>
                    </w:rPr>
                    <w:instrText xml:space="preserve"> HYPERLINK \l "_Toc29598" </w:instrText>
                  </w:r>
                  <w:r>
                    <w:rPr>
                      <w:color w:val="auto"/>
                    </w:rPr>
                    <w:fldChar w:fldCharType="separate"/>
                  </w:r>
                  <w:r>
                    <w:rPr>
                      <w:rFonts w:hint="eastAsia" w:ascii="宋体" w:hAnsi="宋体" w:eastAsia="宋体" w:cs="宋体"/>
                      <w:color w:val="auto"/>
                      <w:sz w:val="28"/>
                      <w:szCs w:val="28"/>
                    </w:rPr>
                    <w:t>第3章　双方的权利和义务</w:t>
                  </w:r>
                  <w:r>
                    <w:rPr>
                      <w:rFonts w:hint="eastAsia" w:ascii="宋体" w:hAnsi="宋体" w:eastAsia="宋体" w:cs="宋体"/>
                      <w:color w:val="auto"/>
                      <w:sz w:val="28"/>
                      <w:szCs w:val="28"/>
                    </w:rPr>
                    <w:tab/>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PAGEREF _Toc29598 \h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5</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rPr>
                    <w:fldChar w:fldCharType="end"/>
                  </w:r>
                </w:p>
                <w:p>
                  <w:pPr>
                    <w:pStyle w:val="12"/>
                    <w:tabs>
                      <w:tab w:val="right" w:leader="dot" w:pos="8200"/>
                    </w:tabs>
                    <w:rPr>
                      <w:rFonts w:ascii="宋体" w:hAnsi="宋体" w:eastAsia="宋体" w:cs="宋体"/>
                      <w:color w:val="auto"/>
                      <w:sz w:val="28"/>
                      <w:szCs w:val="28"/>
                    </w:rPr>
                  </w:pPr>
                  <w:r>
                    <w:rPr>
                      <w:color w:val="auto"/>
                    </w:rPr>
                    <w:fldChar w:fldCharType="begin"/>
                  </w:r>
                  <w:r>
                    <w:rPr>
                      <w:color w:val="auto"/>
                    </w:rPr>
                    <w:instrText xml:space="preserve"> HYPERLINK \l "_Toc21270" </w:instrText>
                  </w:r>
                  <w:r>
                    <w:rPr>
                      <w:color w:val="auto"/>
                    </w:rPr>
                    <w:fldChar w:fldCharType="separate"/>
                  </w:r>
                  <w:r>
                    <w:rPr>
                      <w:rFonts w:hint="eastAsia" w:ascii="宋体" w:hAnsi="宋体" w:eastAsia="宋体" w:cs="宋体"/>
                      <w:color w:val="auto"/>
                      <w:sz w:val="28"/>
                      <w:szCs w:val="28"/>
                    </w:rPr>
                    <w:t>第4章　结算事宜</w:t>
                  </w:r>
                  <w:r>
                    <w:rPr>
                      <w:rFonts w:hint="eastAsia" w:ascii="宋体" w:hAnsi="宋体" w:eastAsia="宋体" w:cs="宋体"/>
                      <w:color w:val="auto"/>
                      <w:sz w:val="28"/>
                      <w:szCs w:val="28"/>
                    </w:rPr>
                    <w:tab/>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PAGEREF _Toc21270 \h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6</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rPr>
                    <w:fldChar w:fldCharType="end"/>
                  </w:r>
                </w:p>
                <w:p>
                  <w:pPr>
                    <w:pStyle w:val="12"/>
                    <w:tabs>
                      <w:tab w:val="right" w:leader="dot" w:pos="8200"/>
                    </w:tabs>
                    <w:rPr>
                      <w:rFonts w:ascii="宋体" w:hAnsi="宋体" w:eastAsia="宋体" w:cs="宋体"/>
                      <w:color w:val="auto"/>
                      <w:sz w:val="28"/>
                      <w:szCs w:val="28"/>
                    </w:rPr>
                  </w:pPr>
                  <w:r>
                    <w:rPr>
                      <w:color w:val="auto"/>
                    </w:rPr>
                    <w:fldChar w:fldCharType="begin"/>
                  </w:r>
                  <w:r>
                    <w:rPr>
                      <w:color w:val="auto"/>
                    </w:rPr>
                    <w:instrText xml:space="preserve"> HYPERLINK \l "_Toc9384" </w:instrText>
                  </w:r>
                  <w:r>
                    <w:rPr>
                      <w:color w:val="auto"/>
                    </w:rPr>
                    <w:fldChar w:fldCharType="separate"/>
                  </w:r>
                  <w:r>
                    <w:rPr>
                      <w:rFonts w:hint="eastAsia" w:ascii="宋体" w:hAnsi="宋体" w:eastAsia="宋体" w:cs="宋体"/>
                      <w:color w:val="auto"/>
                      <w:sz w:val="28"/>
                      <w:szCs w:val="28"/>
                    </w:rPr>
                    <w:t>第5章　电能计量</w:t>
                  </w:r>
                  <w:r>
                    <w:rPr>
                      <w:rFonts w:hint="eastAsia" w:ascii="宋体" w:hAnsi="宋体" w:eastAsia="宋体" w:cs="宋体"/>
                      <w:color w:val="auto"/>
                      <w:sz w:val="28"/>
                      <w:szCs w:val="28"/>
                    </w:rPr>
                    <w:tab/>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PAGEREF _Toc9384 \h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16</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rPr>
                    <w:fldChar w:fldCharType="end"/>
                  </w:r>
                </w:p>
                <w:p>
                  <w:pPr>
                    <w:pStyle w:val="12"/>
                    <w:tabs>
                      <w:tab w:val="right" w:leader="dot" w:pos="8200"/>
                    </w:tabs>
                    <w:rPr>
                      <w:rFonts w:ascii="宋体" w:hAnsi="宋体" w:eastAsia="宋体" w:cs="宋体"/>
                      <w:color w:val="auto"/>
                      <w:sz w:val="28"/>
                      <w:szCs w:val="28"/>
                    </w:rPr>
                  </w:pPr>
                  <w:r>
                    <w:rPr>
                      <w:color w:val="auto"/>
                    </w:rPr>
                    <w:fldChar w:fldCharType="begin"/>
                  </w:r>
                  <w:r>
                    <w:rPr>
                      <w:color w:val="auto"/>
                    </w:rPr>
                    <w:instrText xml:space="preserve"> HYPERLINK \l "_Toc26479" </w:instrText>
                  </w:r>
                  <w:r>
                    <w:rPr>
                      <w:color w:val="auto"/>
                    </w:rPr>
                    <w:fldChar w:fldCharType="separate"/>
                  </w:r>
                  <w:r>
                    <w:rPr>
                      <w:rFonts w:hint="eastAsia" w:ascii="宋体" w:hAnsi="宋体" w:eastAsia="宋体" w:cs="宋体"/>
                      <w:color w:val="auto"/>
                      <w:sz w:val="28"/>
                      <w:szCs w:val="28"/>
                    </w:rPr>
                    <w:t>第6章  合同生效和期限</w:t>
                  </w:r>
                  <w:r>
                    <w:rPr>
                      <w:rFonts w:hint="eastAsia" w:ascii="宋体" w:hAnsi="宋体" w:eastAsia="宋体" w:cs="宋体"/>
                      <w:color w:val="auto"/>
                      <w:sz w:val="28"/>
                      <w:szCs w:val="28"/>
                    </w:rPr>
                    <w:tab/>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PAGEREF _Toc26479 \h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17</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rPr>
                    <w:fldChar w:fldCharType="end"/>
                  </w:r>
                </w:p>
                <w:p>
                  <w:pPr>
                    <w:pStyle w:val="12"/>
                    <w:tabs>
                      <w:tab w:val="right" w:leader="dot" w:pos="8200"/>
                    </w:tabs>
                    <w:rPr>
                      <w:rFonts w:ascii="宋体" w:hAnsi="宋体" w:eastAsia="宋体" w:cs="宋体"/>
                      <w:color w:val="auto"/>
                      <w:sz w:val="28"/>
                      <w:szCs w:val="28"/>
                    </w:rPr>
                  </w:pPr>
                  <w:r>
                    <w:rPr>
                      <w:color w:val="auto"/>
                    </w:rPr>
                    <w:fldChar w:fldCharType="begin"/>
                  </w:r>
                  <w:r>
                    <w:rPr>
                      <w:color w:val="auto"/>
                    </w:rPr>
                    <w:instrText xml:space="preserve"> HYPERLINK \l "_Toc8783" </w:instrText>
                  </w:r>
                  <w:r>
                    <w:rPr>
                      <w:color w:val="auto"/>
                    </w:rPr>
                    <w:fldChar w:fldCharType="separate"/>
                  </w:r>
                  <w:r>
                    <w:rPr>
                      <w:rFonts w:hint="eastAsia" w:ascii="宋体" w:hAnsi="宋体" w:eastAsia="宋体" w:cs="宋体"/>
                      <w:color w:val="auto"/>
                      <w:sz w:val="28"/>
                      <w:szCs w:val="28"/>
                    </w:rPr>
                    <w:t>第7章  合同变更和解除</w:t>
                  </w:r>
                  <w:r>
                    <w:rPr>
                      <w:rFonts w:hint="eastAsia" w:ascii="宋体" w:hAnsi="宋体" w:eastAsia="宋体" w:cs="宋体"/>
                      <w:color w:val="auto"/>
                      <w:sz w:val="28"/>
                      <w:szCs w:val="28"/>
                    </w:rPr>
                    <w:tab/>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PAGEREF _Toc8783 \h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17</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rPr>
                    <w:fldChar w:fldCharType="end"/>
                  </w:r>
                </w:p>
                <w:p>
                  <w:pPr>
                    <w:pStyle w:val="12"/>
                    <w:tabs>
                      <w:tab w:val="right" w:leader="dot" w:pos="8200"/>
                    </w:tabs>
                    <w:rPr>
                      <w:rFonts w:ascii="宋体" w:hAnsi="宋体" w:eastAsia="宋体" w:cs="宋体"/>
                      <w:color w:val="auto"/>
                      <w:sz w:val="28"/>
                      <w:szCs w:val="28"/>
                    </w:rPr>
                  </w:pPr>
                  <w:r>
                    <w:rPr>
                      <w:color w:val="auto"/>
                    </w:rPr>
                    <w:fldChar w:fldCharType="begin"/>
                  </w:r>
                  <w:r>
                    <w:rPr>
                      <w:color w:val="auto"/>
                    </w:rPr>
                    <w:instrText xml:space="preserve"> HYPERLINK \l "_Toc11013" </w:instrText>
                  </w:r>
                  <w:r>
                    <w:rPr>
                      <w:color w:val="auto"/>
                    </w:rPr>
                    <w:fldChar w:fldCharType="separate"/>
                  </w:r>
                  <w:r>
                    <w:rPr>
                      <w:rFonts w:hint="eastAsia" w:ascii="宋体" w:hAnsi="宋体" w:eastAsia="宋体" w:cs="宋体"/>
                      <w:color w:val="auto"/>
                      <w:sz w:val="28"/>
                      <w:szCs w:val="28"/>
                    </w:rPr>
                    <w:t>第8章　合同违约和赔偿</w:t>
                  </w:r>
                  <w:r>
                    <w:rPr>
                      <w:rFonts w:hint="eastAsia" w:ascii="宋体" w:hAnsi="宋体" w:eastAsia="宋体" w:cs="宋体"/>
                      <w:color w:val="auto"/>
                      <w:sz w:val="28"/>
                      <w:szCs w:val="28"/>
                    </w:rPr>
                    <w:tab/>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PAGEREF _Toc11013 \h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18</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rPr>
                    <w:fldChar w:fldCharType="end"/>
                  </w:r>
                </w:p>
                <w:p>
                  <w:pPr>
                    <w:pStyle w:val="12"/>
                    <w:tabs>
                      <w:tab w:val="right" w:leader="dot" w:pos="8200"/>
                    </w:tabs>
                    <w:rPr>
                      <w:rFonts w:ascii="宋体" w:hAnsi="宋体" w:eastAsia="宋体" w:cs="宋体"/>
                      <w:color w:val="auto"/>
                      <w:sz w:val="28"/>
                      <w:szCs w:val="28"/>
                    </w:rPr>
                  </w:pPr>
                  <w:r>
                    <w:rPr>
                      <w:color w:val="auto"/>
                    </w:rPr>
                    <w:fldChar w:fldCharType="begin"/>
                  </w:r>
                  <w:r>
                    <w:rPr>
                      <w:color w:val="auto"/>
                    </w:rPr>
                    <w:instrText xml:space="preserve"> HYPERLINK \l "_Toc23574" </w:instrText>
                  </w:r>
                  <w:r>
                    <w:rPr>
                      <w:color w:val="auto"/>
                    </w:rPr>
                    <w:fldChar w:fldCharType="separate"/>
                  </w:r>
                  <w:r>
                    <w:rPr>
                      <w:rFonts w:hint="eastAsia" w:ascii="宋体" w:hAnsi="宋体" w:eastAsia="宋体" w:cs="宋体"/>
                      <w:color w:val="auto"/>
                      <w:sz w:val="28"/>
                      <w:szCs w:val="28"/>
                    </w:rPr>
                    <w:t>第9章　免责条款</w:t>
                  </w:r>
                  <w:r>
                    <w:rPr>
                      <w:rFonts w:hint="eastAsia" w:ascii="宋体" w:hAnsi="宋体" w:eastAsia="宋体" w:cs="宋体"/>
                      <w:color w:val="auto"/>
                      <w:sz w:val="28"/>
                      <w:szCs w:val="28"/>
                    </w:rPr>
                    <w:tab/>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PAGEREF _Toc23574 \h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19</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rPr>
                    <w:fldChar w:fldCharType="end"/>
                  </w:r>
                </w:p>
                <w:p>
                  <w:pPr>
                    <w:pStyle w:val="12"/>
                    <w:tabs>
                      <w:tab w:val="right" w:leader="dot" w:pos="8200"/>
                    </w:tabs>
                    <w:rPr>
                      <w:rFonts w:ascii="宋体" w:hAnsi="宋体" w:eastAsia="宋体" w:cs="宋体"/>
                      <w:color w:val="auto"/>
                      <w:sz w:val="28"/>
                      <w:szCs w:val="28"/>
                    </w:rPr>
                  </w:pPr>
                  <w:r>
                    <w:rPr>
                      <w:color w:val="auto"/>
                    </w:rPr>
                    <w:fldChar w:fldCharType="begin"/>
                  </w:r>
                  <w:r>
                    <w:rPr>
                      <w:color w:val="auto"/>
                    </w:rPr>
                    <w:instrText xml:space="preserve"> HYPERLINK \l "_Toc16822" </w:instrText>
                  </w:r>
                  <w:r>
                    <w:rPr>
                      <w:color w:val="auto"/>
                    </w:rPr>
                    <w:fldChar w:fldCharType="separate"/>
                  </w:r>
                  <w:r>
                    <w:rPr>
                      <w:rFonts w:hint="eastAsia" w:ascii="宋体" w:hAnsi="宋体" w:eastAsia="宋体" w:cs="宋体"/>
                      <w:color w:val="auto"/>
                      <w:sz w:val="28"/>
                      <w:szCs w:val="28"/>
                    </w:rPr>
                    <w:t>第10章　争议的解决</w:t>
                  </w:r>
                  <w:r>
                    <w:rPr>
                      <w:rFonts w:hint="eastAsia" w:ascii="宋体" w:hAnsi="宋体" w:eastAsia="宋体" w:cs="宋体"/>
                      <w:color w:val="auto"/>
                      <w:sz w:val="28"/>
                      <w:szCs w:val="28"/>
                    </w:rPr>
                    <w:tab/>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PAGEREF _Toc16822 \h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20</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rPr>
                    <w:fldChar w:fldCharType="end"/>
                  </w:r>
                </w:p>
                <w:p>
                  <w:pPr>
                    <w:pStyle w:val="12"/>
                    <w:tabs>
                      <w:tab w:val="right" w:leader="dot" w:pos="8200"/>
                    </w:tabs>
                    <w:rPr>
                      <w:rFonts w:ascii="宋体" w:hAnsi="宋体" w:eastAsia="宋体" w:cs="宋体"/>
                      <w:color w:val="auto"/>
                      <w:sz w:val="28"/>
                      <w:szCs w:val="28"/>
                    </w:rPr>
                  </w:pPr>
                  <w:r>
                    <w:rPr>
                      <w:color w:val="auto"/>
                    </w:rPr>
                    <w:fldChar w:fldCharType="begin"/>
                  </w:r>
                  <w:r>
                    <w:rPr>
                      <w:color w:val="auto"/>
                    </w:rPr>
                    <w:instrText xml:space="preserve"> HYPERLINK \l "_Toc22281" </w:instrText>
                  </w:r>
                  <w:r>
                    <w:rPr>
                      <w:color w:val="auto"/>
                    </w:rPr>
                    <w:fldChar w:fldCharType="separate"/>
                  </w:r>
                  <w:r>
                    <w:rPr>
                      <w:rFonts w:hint="eastAsia" w:ascii="宋体" w:hAnsi="宋体" w:eastAsia="宋体" w:cs="宋体"/>
                      <w:color w:val="auto"/>
                      <w:sz w:val="28"/>
                      <w:szCs w:val="28"/>
                    </w:rPr>
                    <w:t>第11章　其他</w:t>
                  </w:r>
                  <w:r>
                    <w:rPr>
                      <w:rFonts w:hint="eastAsia" w:ascii="宋体" w:hAnsi="宋体" w:eastAsia="宋体" w:cs="宋体"/>
                      <w:color w:val="auto"/>
                      <w:sz w:val="28"/>
                      <w:szCs w:val="28"/>
                    </w:rPr>
                    <w:tab/>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PAGEREF _Toc22281 \h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20</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rPr>
                    <w:fldChar w:fldCharType="end"/>
                  </w:r>
                </w:p>
                <w:p>
                  <w:pPr>
                    <w:tabs>
                      <w:tab w:val="right" w:leader="dot" w:pos="8200"/>
                    </w:tabs>
                    <w:jc w:val="center"/>
                    <w:rPr>
                      <w:rFonts w:ascii="宋体" w:hAnsi="宋体" w:eastAsia="宋体" w:cs="宋体"/>
                      <w:color w:val="auto"/>
                      <w:sz w:val="28"/>
                      <w:szCs w:val="28"/>
                    </w:rPr>
                  </w:pPr>
                  <w:r>
                    <w:rPr>
                      <w:rFonts w:hint="eastAsia" w:ascii="宋体" w:hAnsi="宋体" w:eastAsia="宋体" w:cs="宋体"/>
                      <w:color w:val="auto"/>
                      <w:sz w:val="28"/>
                      <w:szCs w:val="28"/>
                    </w:rPr>
                    <w:fldChar w:fldCharType="end"/>
                  </w:r>
                </w:p>
              </w:sdtContent>
            </w:sdt>
            <w:p>
              <w:pPr>
                <w:pStyle w:val="18"/>
                <w:tabs>
                  <w:tab w:val="right" w:leader="dot" w:pos="8200"/>
                </w:tabs>
                <w:rPr>
                  <w:rFonts w:ascii="宋体" w:hAnsi="宋体" w:eastAsia="宋体"/>
                  <w:color w:val="auto"/>
                  <w:sz w:val="21"/>
                </w:rPr>
              </w:pPr>
            </w:p>
            <w:p>
              <w:pPr>
                <w:jc w:val="center"/>
                <w:rPr>
                  <w:rFonts w:ascii="宋体" w:hAnsi="宋体" w:eastAsia="宋体"/>
                  <w:color w:val="auto"/>
                </w:rPr>
              </w:pPr>
            </w:p>
            <w:p>
              <w:pPr>
                <w:jc w:val="center"/>
                <w:rPr>
                  <w:rFonts w:ascii="宋体" w:hAnsi="宋体" w:eastAsia="宋体"/>
                  <w:color w:val="auto"/>
                </w:rPr>
              </w:pPr>
            </w:p>
            <w:p>
              <w:pPr>
                <w:pStyle w:val="18"/>
                <w:tabs>
                  <w:tab w:val="right" w:leader="dot" w:pos="8200"/>
                </w:tabs>
                <w:rPr>
                  <w:color w:val="auto"/>
                  <w:sz w:val="28"/>
                  <w:szCs w:val="28"/>
                </w:rPr>
              </w:pPr>
              <w:r>
                <w:rPr>
                  <w:color w:val="auto"/>
                  <w:sz w:val="28"/>
                  <w:szCs w:val="28"/>
                </w:rPr>
                <w:fldChar w:fldCharType="end"/>
              </w:r>
            </w:p>
            <w:p>
              <w:pPr>
                <w:pStyle w:val="18"/>
                <w:tabs>
                  <w:tab w:val="right" w:leader="dot" w:pos="8200"/>
                </w:tabs>
                <w:rPr>
                  <w:color w:val="auto"/>
                </w:rPr>
              </w:pPr>
            </w:p>
          </w:sdtContent>
        </w:sdt>
        <w:p>
          <w:pPr>
            <w:jc w:val="center"/>
            <w:rPr>
              <w:rFonts w:ascii="宋体" w:hAnsi="宋体" w:eastAsia="宋体"/>
              <w:color w:val="auto"/>
            </w:rPr>
          </w:pPr>
        </w:p>
        <w:p>
          <w:pPr>
            <w:pStyle w:val="18"/>
            <w:tabs>
              <w:tab w:val="right" w:leader="dot" w:pos="8200"/>
            </w:tabs>
            <w:rPr>
              <w:color w:val="auto"/>
            </w:rPr>
          </w:pPr>
        </w:p>
      </w:sdtContent>
    </w:sdt>
    <w:p>
      <w:pPr>
        <w:jc w:val="center"/>
        <w:rPr>
          <w:rFonts w:ascii="黑体" w:hAnsi="黑体" w:eastAsia="黑体" w:cs="黑体"/>
          <w:color w:val="auto"/>
          <w:sz w:val="28"/>
          <w:szCs w:val="28"/>
        </w:rPr>
        <w:sectPr>
          <w:footerReference r:id="rId4" w:type="default"/>
          <w:pgSz w:w="11906" w:h="16838"/>
          <w:pgMar w:top="1440" w:right="1886" w:bottom="1440" w:left="1820" w:header="851" w:footer="992" w:gutter="0"/>
          <w:pgNumType w:start="1"/>
          <w:cols w:space="425" w:num="1"/>
          <w:docGrid w:type="lines" w:linePitch="312" w:charSpace="0"/>
        </w:sectPr>
      </w:pPr>
    </w:p>
    <w:p>
      <w:pPr>
        <w:spacing w:line="360" w:lineRule="auto"/>
        <w:ind w:firstLine="560" w:firstLineChars="200"/>
        <w:rPr>
          <w:rFonts w:asciiTheme="minorEastAsia" w:hAnsiTheme="minorEastAsia"/>
          <w:color w:val="auto"/>
          <w:sz w:val="28"/>
          <w:szCs w:val="28"/>
        </w:rPr>
      </w:pPr>
      <w:bookmarkStart w:id="0" w:name="_Toc474141909"/>
      <w:bookmarkStart w:id="1" w:name="_Toc20560"/>
      <w:bookmarkStart w:id="2" w:name="_Toc12797"/>
      <w:bookmarkStart w:id="3" w:name="_Toc6874"/>
      <w:bookmarkStart w:id="4" w:name="_Toc12400"/>
      <w:r>
        <w:rPr>
          <w:rFonts w:hint="eastAsia" w:asciiTheme="minorEastAsia" w:hAnsiTheme="minorEastAsia"/>
          <w:color w:val="auto"/>
          <w:sz w:val="28"/>
          <w:szCs w:val="28"/>
        </w:rPr>
        <w:t>本合同</w:t>
      </w:r>
      <w:r>
        <w:rPr>
          <w:rFonts w:asciiTheme="minorEastAsia" w:hAnsiTheme="minorEastAsia"/>
          <w:color w:val="auto"/>
          <w:sz w:val="28"/>
          <w:szCs w:val="28"/>
        </w:rPr>
        <w:t>由下列</w:t>
      </w:r>
      <w:r>
        <w:rPr>
          <w:rFonts w:hint="eastAsia" w:asciiTheme="minorEastAsia" w:hAnsiTheme="minorEastAsia"/>
          <w:color w:val="auto"/>
          <w:sz w:val="28"/>
          <w:szCs w:val="28"/>
        </w:rPr>
        <w:t>双</w:t>
      </w:r>
      <w:r>
        <w:rPr>
          <w:rFonts w:asciiTheme="minorEastAsia" w:hAnsiTheme="minorEastAsia"/>
          <w:color w:val="auto"/>
          <w:sz w:val="28"/>
          <w:szCs w:val="28"/>
        </w:rPr>
        <w:t>方签署：</w:t>
      </w:r>
    </w:p>
    <w:p>
      <w:pPr>
        <w:ind w:firstLine="560" w:firstLineChars="200"/>
        <w:rPr>
          <w:rFonts w:ascii="宋体" w:hAnsi="宋体" w:eastAsia="宋体" w:cs="宋体"/>
          <w:color w:val="auto"/>
          <w:sz w:val="28"/>
          <w:szCs w:val="28"/>
        </w:rPr>
      </w:pPr>
      <w:r>
        <w:rPr>
          <w:rFonts w:asciiTheme="minorEastAsia" w:hAnsiTheme="minorEastAsia"/>
          <w:color w:val="auto"/>
          <w:sz w:val="28"/>
          <w:szCs w:val="28"/>
        </w:rPr>
        <w:t>（</w:t>
      </w:r>
      <w:r>
        <w:rPr>
          <w:rFonts w:hint="eastAsia" w:asciiTheme="minorEastAsia" w:hAnsiTheme="minorEastAsia"/>
          <w:color w:val="auto"/>
          <w:sz w:val="28"/>
          <w:szCs w:val="28"/>
        </w:rPr>
        <w:t>1</w:t>
      </w:r>
      <w:r>
        <w:rPr>
          <w:rFonts w:asciiTheme="minorEastAsia" w:hAnsiTheme="minorEastAsia"/>
          <w:color w:val="auto"/>
          <w:sz w:val="28"/>
          <w:szCs w:val="28"/>
        </w:rPr>
        <w:t>）</w:t>
      </w:r>
      <w:r>
        <w:rPr>
          <w:rFonts w:hint="eastAsia" w:asciiTheme="minorEastAsia" w:hAnsiTheme="minorEastAsia"/>
          <w:color w:val="auto"/>
          <w:sz w:val="28"/>
          <w:szCs w:val="28"/>
        </w:rPr>
        <w:t>甲方</w:t>
      </w:r>
      <w:r>
        <w:rPr>
          <w:rFonts w:asciiTheme="minorEastAsia" w:hAnsiTheme="minorEastAsia"/>
          <w:color w:val="auto"/>
          <w:sz w:val="28"/>
          <w:szCs w:val="28"/>
        </w:rPr>
        <w:t>（</w:t>
      </w:r>
      <w:r>
        <w:rPr>
          <w:rFonts w:hint="eastAsia" w:asciiTheme="minorEastAsia" w:hAnsiTheme="minorEastAsia"/>
          <w:color w:val="auto"/>
          <w:sz w:val="28"/>
          <w:szCs w:val="28"/>
        </w:rPr>
        <w:t>即</w:t>
      </w:r>
      <w:r>
        <w:rPr>
          <w:rFonts w:asciiTheme="minorEastAsia" w:hAnsiTheme="minorEastAsia"/>
          <w:color w:val="auto"/>
          <w:sz w:val="28"/>
          <w:szCs w:val="28"/>
        </w:rPr>
        <w:t>电力用户）：</w:t>
      </w:r>
      <w:r>
        <w:rPr>
          <w:rFonts w:hint="eastAsia" w:ascii="宋体" w:hAnsi="宋体"/>
          <w:color w:val="auto"/>
          <w:sz w:val="28"/>
          <w:szCs w:val="28"/>
          <w:u w:val="single"/>
        </w:rPr>
        <w:t xml:space="preserve">                </w:t>
      </w:r>
      <w:r>
        <w:rPr>
          <w:rFonts w:asciiTheme="minorEastAsia" w:hAnsiTheme="minorEastAsia"/>
          <w:color w:val="auto"/>
          <w:sz w:val="28"/>
          <w:szCs w:val="28"/>
        </w:rPr>
        <w:t>，系一家具有</w:t>
      </w:r>
      <w:r>
        <w:rPr>
          <w:rFonts w:asciiTheme="minorEastAsia" w:hAnsiTheme="minorEastAsia"/>
          <w:color w:val="auto"/>
          <w:sz w:val="28"/>
          <w:szCs w:val="28"/>
          <w:u w:val="single"/>
        </w:rPr>
        <w:t xml:space="preserve">            </w:t>
      </w:r>
      <w:r>
        <w:rPr>
          <w:rFonts w:hint="eastAsia" w:ascii="宋体" w:hAnsi="宋体" w:eastAsia="宋体" w:cs="宋体"/>
          <w:color w:val="auto"/>
          <w:sz w:val="28"/>
          <w:szCs w:val="28"/>
          <w:u w:val="single"/>
        </w:rPr>
        <w:t>法人资格/经法人单位授权</w:t>
      </w:r>
      <w:r>
        <w:rPr>
          <w:rFonts w:asciiTheme="minorEastAsia" w:hAnsiTheme="minorEastAsia"/>
          <w:color w:val="auto"/>
          <w:sz w:val="28"/>
          <w:szCs w:val="28"/>
        </w:rPr>
        <w:t>企业，</w:t>
      </w:r>
      <w:r>
        <w:rPr>
          <w:rFonts w:hint="eastAsia" w:asciiTheme="minorEastAsia" w:hAnsiTheme="minorEastAsia"/>
          <w:color w:val="auto"/>
          <w:sz w:val="28"/>
          <w:szCs w:val="28"/>
        </w:rPr>
        <w:t>具备广西电力市场交易资格，</w:t>
      </w:r>
      <w:r>
        <w:rPr>
          <w:rFonts w:asciiTheme="minorEastAsia" w:hAnsiTheme="minorEastAsia"/>
          <w:color w:val="auto"/>
          <w:sz w:val="28"/>
          <w:szCs w:val="28"/>
        </w:rPr>
        <w:t>企业所在地为</w:t>
      </w:r>
      <w:r>
        <w:rPr>
          <w:rFonts w:hint="eastAsia" w:asciiTheme="minorEastAsia" w:hAnsiTheme="minorEastAsia"/>
          <w:color w:val="auto"/>
          <w:sz w:val="28"/>
          <w:szCs w:val="28"/>
          <w:u w:val="single"/>
        </w:rPr>
        <w:t xml:space="preserve">     </w:t>
      </w:r>
      <w:r>
        <w:rPr>
          <w:rFonts w:hint="eastAsia" w:ascii="宋体" w:hAnsi="宋体"/>
          <w:color w:val="auto"/>
          <w:sz w:val="28"/>
          <w:szCs w:val="28"/>
          <w:u w:val="single"/>
        </w:rPr>
        <w:t xml:space="preserve">    </w:t>
      </w:r>
      <w:r>
        <w:rPr>
          <w:rFonts w:hint="eastAsia" w:ascii="宋体" w:hAnsi="宋体"/>
          <w:color w:val="auto"/>
          <w:sz w:val="28"/>
          <w:szCs w:val="28"/>
        </w:rPr>
        <w:t>，</w:t>
      </w:r>
      <w:r>
        <w:rPr>
          <w:rFonts w:asciiTheme="minorEastAsia" w:hAnsiTheme="minorEastAsia"/>
          <w:color w:val="auto"/>
          <w:sz w:val="28"/>
          <w:szCs w:val="28"/>
        </w:rPr>
        <w:t>在</w:t>
      </w:r>
      <w:r>
        <w:rPr>
          <w:rFonts w:hint="eastAsia" w:ascii="宋体" w:hAnsi="宋体"/>
          <w:color w:val="auto"/>
          <w:sz w:val="28"/>
          <w:szCs w:val="28"/>
          <w:u w:val="single"/>
        </w:rPr>
        <w:t xml:space="preserve">      </w:t>
      </w:r>
      <w:r>
        <w:rPr>
          <w:rFonts w:asciiTheme="minorEastAsia" w:hAnsiTheme="minorEastAsia"/>
          <w:color w:val="auto"/>
          <w:sz w:val="28"/>
          <w:szCs w:val="28"/>
        </w:rPr>
        <w:t>工商行政管理局登记注册，统一社会信用代码（</w:t>
      </w:r>
      <w:r>
        <w:rPr>
          <w:rFonts w:hint="eastAsia" w:asciiTheme="minorEastAsia" w:hAnsiTheme="minorEastAsia"/>
          <w:color w:val="auto"/>
          <w:sz w:val="28"/>
          <w:szCs w:val="28"/>
        </w:rPr>
        <w:t>组织机构代码</w:t>
      </w:r>
      <w:r>
        <w:rPr>
          <w:rFonts w:asciiTheme="minorEastAsia" w:hAnsiTheme="minorEastAsia"/>
          <w:color w:val="auto"/>
          <w:sz w:val="28"/>
          <w:szCs w:val="28"/>
        </w:rPr>
        <w:t>）：</w:t>
      </w:r>
      <w:r>
        <w:rPr>
          <w:rFonts w:hint="eastAsia" w:ascii="宋体" w:hAnsi="宋体"/>
          <w:color w:val="auto"/>
          <w:sz w:val="28"/>
          <w:szCs w:val="28"/>
          <w:u w:val="single"/>
        </w:rPr>
        <w:t xml:space="preserve">             </w:t>
      </w:r>
      <w:r>
        <w:rPr>
          <w:rFonts w:hint="eastAsia" w:ascii="宋体" w:hAnsi="宋体"/>
          <w:color w:val="auto"/>
          <w:sz w:val="28"/>
          <w:szCs w:val="28"/>
        </w:rPr>
        <w:t>，</w:t>
      </w:r>
      <w:r>
        <w:rPr>
          <w:rFonts w:hint="eastAsia" w:ascii="宋体" w:hAnsi="宋体" w:eastAsia="宋体" w:cs="宋体"/>
          <w:color w:val="auto"/>
          <w:sz w:val="28"/>
          <w:szCs w:val="28"/>
        </w:rPr>
        <w:t>法定代表人：</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，身份证号码：</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w:t>
      </w:r>
    </w:p>
    <w:p>
      <w:pPr>
        <w:pStyle w:val="7"/>
        <w:ind w:left="0" w:firstLine="562" w:firstLineChars="200"/>
        <w:jc w:val="both"/>
        <w:outlineLvl w:val="9"/>
        <w:rPr>
          <w:rFonts w:asciiTheme="minorEastAsia" w:hAnsiTheme="minorEastAsia" w:eastAsiaTheme="minorEastAsia" w:cstheme="minorEastAsia"/>
          <w:color w:val="auto"/>
          <w:sz w:val="28"/>
          <w:szCs w:val="28"/>
        </w:rPr>
      </w:pPr>
      <w:bookmarkStart w:id="5" w:name="_Toc4801"/>
      <w:bookmarkStart w:id="6" w:name="_Toc31022"/>
      <w:r>
        <w:rPr>
          <w:rFonts w:hint="eastAsia" w:asciiTheme="minorEastAsia" w:hAnsiTheme="minorEastAsia" w:eastAsiaTheme="minorEastAsia" w:cstheme="minorEastAsia"/>
          <w:color w:val="auto"/>
          <w:sz w:val="28"/>
          <w:szCs w:val="28"/>
        </w:rPr>
        <w:t>甲方联络通讯信息：</w:t>
      </w:r>
      <w:bookmarkEnd w:id="5"/>
      <w:bookmarkEnd w:id="6"/>
    </w:p>
    <w:p>
      <w:pPr>
        <w:pStyle w:val="7"/>
        <w:tabs>
          <w:tab w:val="left" w:pos="1175"/>
          <w:tab w:val="left" w:pos="4684"/>
          <w:tab w:val="left" w:pos="9169"/>
        </w:tabs>
        <w:ind w:left="0" w:firstLine="560" w:firstLineChars="200"/>
        <w:jc w:val="both"/>
        <w:outlineLvl w:val="9"/>
        <w:rPr>
          <w:rFonts w:asciiTheme="minorEastAsia" w:hAnsiTheme="minorEastAsia" w:eastAsiaTheme="minorEastAsia" w:cstheme="minorEastAsia"/>
          <w:b w:val="0"/>
          <w:bCs w:val="0"/>
          <w:color w:val="auto"/>
          <w:sz w:val="28"/>
          <w:szCs w:val="28"/>
          <w:u w:val="single"/>
          <w:lang w:val="en-US"/>
        </w:rPr>
      </w:pPr>
      <w:bookmarkStart w:id="7" w:name="_Toc10335"/>
      <w:bookmarkStart w:id="8" w:name="_Toc3492"/>
      <w:r>
        <w:rPr>
          <w:rFonts w:hint="eastAsia" w:asciiTheme="minorEastAsia" w:hAnsiTheme="minorEastAsia" w:eastAsiaTheme="minorEastAsia" w:cstheme="minorEastAsia"/>
          <w:b w:val="0"/>
          <w:bCs w:val="0"/>
          <w:color w:val="auto"/>
          <w:sz w:val="28"/>
          <w:szCs w:val="28"/>
        </w:rPr>
        <w:t>联系人：</w:t>
      </w:r>
      <w:r>
        <w:rPr>
          <w:rFonts w:hint="eastAsia" w:asciiTheme="minorEastAsia" w:hAnsiTheme="minorEastAsia" w:eastAsiaTheme="minorEastAsia" w:cstheme="minorEastAsia"/>
          <w:b w:val="0"/>
          <w:bCs w:val="0"/>
          <w:color w:val="auto"/>
          <w:sz w:val="28"/>
          <w:szCs w:val="28"/>
          <w:u w:val="single"/>
          <w:lang w:val="en-US"/>
        </w:rPr>
        <w:t xml:space="preserve">                   </w:t>
      </w:r>
      <w:r>
        <w:rPr>
          <w:rFonts w:hint="eastAsia" w:asciiTheme="minorEastAsia" w:hAnsiTheme="minorEastAsia" w:eastAsiaTheme="minorEastAsia" w:cstheme="minorEastAsia"/>
          <w:b w:val="0"/>
          <w:bCs w:val="0"/>
          <w:color w:val="auto"/>
          <w:sz w:val="28"/>
          <w:szCs w:val="28"/>
          <w:lang w:val="en-US"/>
        </w:rPr>
        <w:t xml:space="preserve">  电子邮箱：</w:t>
      </w:r>
      <w:bookmarkEnd w:id="7"/>
      <w:bookmarkEnd w:id="8"/>
      <w:r>
        <w:rPr>
          <w:rFonts w:hint="eastAsia" w:asciiTheme="minorEastAsia" w:hAnsiTheme="minorEastAsia" w:eastAsiaTheme="minorEastAsia" w:cstheme="minorEastAsia"/>
          <w:b w:val="0"/>
          <w:bCs w:val="0"/>
          <w:color w:val="auto"/>
          <w:sz w:val="28"/>
          <w:szCs w:val="28"/>
          <w:u w:val="single"/>
          <w:lang w:val="en-US"/>
        </w:rPr>
        <w:t xml:space="preserve">                    </w:t>
      </w:r>
    </w:p>
    <w:p>
      <w:pPr>
        <w:pStyle w:val="7"/>
        <w:tabs>
          <w:tab w:val="left" w:pos="1175"/>
          <w:tab w:val="left" w:pos="4684"/>
          <w:tab w:val="left" w:pos="9169"/>
        </w:tabs>
        <w:ind w:left="0" w:firstLine="560" w:firstLineChars="200"/>
        <w:jc w:val="both"/>
        <w:outlineLvl w:val="9"/>
        <w:rPr>
          <w:rFonts w:asciiTheme="minorEastAsia" w:hAnsiTheme="minorEastAsia" w:eastAsiaTheme="minorEastAsia" w:cstheme="minorEastAsia"/>
          <w:b w:val="0"/>
          <w:bCs w:val="0"/>
          <w:color w:val="auto"/>
          <w:spacing w:val="15"/>
          <w:sz w:val="28"/>
          <w:szCs w:val="28"/>
          <w:u w:val="single"/>
          <w:lang w:val="en-US"/>
        </w:rPr>
      </w:pPr>
      <w:bookmarkStart w:id="9" w:name="_Toc10354"/>
      <w:bookmarkStart w:id="10" w:name="_Toc19618"/>
      <w:r>
        <w:rPr>
          <w:rFonts w:hint="eastAsia" w:asciiTheme="minorEastAsia" w:hAnsiTheme="minorEastAsia" w:eastAsiaTheme="minorEastAsia" w:cstheme="minorEastAsia"/>
          <w:b w:val="0"/>
          <w:bCs w:val="0"/>
          <w:color w:val="auto"/>
          <w:sz w:val="28"/>
          <w:szCs w:val="28"/>
        </w:rPr>
        <w:t>电话：</w:t>
      </w:r>
      <w:bookmarkEnd w:id="9"/>
      <w:bookmarkEnd w:id="10"/>
      <w:r>
        <w:rPr>
          <w:rFonts w:hint="eastAsia" w:asciiTheme="minorEastAsia" w:hAnsiTheme="minorEastAsia" w:eastAsiaTheme="minorEastAsia" w:cstheme="minorEastAsia"/>
          <w:b w:val="0"/>
          <w:bCs w:val="0"/>
          <w:color w:val="auto"/>
          <w:sz w:val="28"/>
          <w:szCs w:val="28"/>
          <w:u w:val="single"/>
          <w:lang w:val="en-US"/>
        </w:rPr>
        <w:t xml:space="preserve">                   </w:t>
      </w:r>
      <w:r>
        <w:rPr>
          <w:rFonts w:hint="eastAsia" w:asciiTheme="minorEastAsia" w:hAnsiTheme="minorEastAsia" w:eastAsiaTheme="minorEastAsia" w:cstheme="minorEastAsia"/>
          <w:b w:val="0"/>
          <w:bCs w:val="0"/>
          <w:color w:val="auto"/>
          <w:sz w:val="28"/>
          <w:szCs w:val="28"/>
          <w:lang w:val="en-US"/>
        </w:rPr>
        <w:t xml:space="preserve">  </w:t>
      </w:r>
    </w:p>
    <w:p>
      <w:pPr>
        <w:pStyle w:val="7"/>
        <w:tabs>
          <w:tab w:val="left" w:pos="1175"/>
          <w:tab w:val="left" w:pos="4684"/>
          <w:tab w:val="left" w:pos="9169"/>
        </w:tabs>
        <w:ind w:left="0" w:firstLine="560" w:firstLineChars="200"/>
        <w:rPr>
          <w:rFonts w:ascii="Times New Roman" w:eastAsia="Times New Roman"/>
          <w:b w:val="0"/>
          <w:bCs w:val="0"/>
          <w:color w:val="auto"/>
        </w:rPr>
      </w:pPr>
      <w:bookmarkStart w:id="11" w:name="_Toc5628_WPSOffice_Level1"/>
      <w:bookmarkStart w:id="12" w:name="_Toc15480"/>
      <w:bookmarkStart w:id="13" w:name="_Toc27226_WPSOffice_Level1"/>
      <w:bookmarkStart w:id="14" w:name="_Toc32229"/>
      <w:bookmarkStart w:id="15" w:name="_Toc26491_WPSOffice_Level1"/>
      <w:bookmarkStart w:id="16" w:name="_Toc31020_WPSOffice_Level1"/>
      <w:r>
        <w:rPr>
          <w:rFonts w:hint="eastAsia" w:asciiTheme="minorEastAsia" w:hAnsiTheme="minorEastAsia" w:eastAsiaTheme="minorEastAsia" w:cstheme="minorEastAsia"/>
          <w:b w:val="0"/>
          <w:bCs w:val="0"/>
          <w:color w:val="auto"/>
          <w:sz w:val="28"/>
          <w:szCs w:val="28"/>
        </w:rPr>
        <w:t>联</w:t>
      </w:r>
      <w:r>
        <w:rPr>
          <w:rFonts w:hint="eastAsia" w:asciiTheme="minorEastAsia" w:hAnsiTheme="minorEastAsia" w:eastAsiaTheme="minorEastAsia" w:cstheme="minorEastAsia"/>
          <w:b w:val="0"/>
          <w:bCs w:val="0"/>
          <w:color w:val="auto"/>
          <w:spacing w:val="15"/>
          <w:sz w:val="28"/>
          <w:szCs w:val="28"/>
        </w:rPr>
        <w:t>系</w:t>
      </w:r>
      <w:r>
        <w:rPr>
          <w:rFonts w:hint="eastAsia" w:asciiTheme="minorEastAsia" w:hAnsiTheme="minorEastAsia" w:eastAsiaTheme="minorEastAsia" w:cstheme="minorEastAsia"/>
          <w:b w:val="0"/>
          <w:bCs w:val="0"/>
          <w:color w:val="auto"/>
          <w:spacing w:val="-145"/>
          <w:sz w:val="28"/>
          <w:szCs w:val="28"/>
        </w:rPr>
        <w:t xml:space="preserve"> </w:t>
      </w:r>
      <w:r>
        <w:rPr>
          <w:rFonts w:hint="eastAsia" w:asciiTheme="minorEastAsia" w:hAnsiTheme="minorEastAsia" w:eastAsiaTheme="minorEastAsia" w:cstheme="minorEastAsia"/>
          <w:b w:val="0"/>
          <w:bCs w:val="0"/>
          <w:color w:val="auto"/>
          <w:sz w:val="28"/>
          <w:szCs w:val="28"/>
        </w:rPr>
        <w:t>地址</w:t>
      </w:r>
      <w:r>
        <w:rPr>
          <w:rFonts w:hint="eastAsia" w:asciiTheme="minorEastAsia" w:hAnsiTheme="minorEastAsia" w:eastAsiaTheme="minorEastAsia" w:cstheme="minorEastAsia"/>
          <w:b w:val="0"/>
          <w:bCs w:val="0"/>
          <w:color w:val="auto"/>
          <w:spacing w:val="15"/>
          <w:sz w:val="28"/>
          <w:szCs w:val="28"/>
        </w:rPr>
        <w:t>：</w:t>
      </w:r>
      <w:bookmarkEnd w:id="11"/>
      <w:bookmarkEnd w:id="12"/>
      <w:bookmarkEnd w:id="13"/>
      <w:bookmarkEnd w:id="14"/>
      <w:bookmarkEnd w:id="15"/>
      <w:bookmarkEnd w:id="16"/>
      <w:r>
        <w:rPr>
          <w:rFonts w:hint="eastAsia" w:asciiTheme="minorEastAsia" w:hAnsiTheme="minorEastAsia" w:eastAsiaTheme="minorEastAsia" w:cstheme="minorEastAsia"/>
          <w:b w:val="0"/>
          <w:bCs w:val="0"/>
          <w:color w:val="auto"/>
          <w:sz w:val="28"/>
          <w:szCs w:val="28"/>
          <w:u w:val="single"/>
        </w:rPr>
        <w:t xml:space="preserve"> </w:t>
      </w:r>
      <w:r>
        <w:rPr>
          <w:rFonts w:hint="eastAsia" w:asciiTheme="minorEastAsia" w:hAnsiTheme="minorEastAsia" w:eastAsiaTheme="minorEastAsia" w:cstheme="minorEastAsia"/>
          <w:b w:val="0"/>
          <w:bCs w:val="0"/>
          <w:color w:val="auto"/>
          <w:sz w:val="28"/>
          <w:szCs w:val="28"/>
          <w:u w:val="single"/>
        </w:rPr>
        <w:tab/>
      </w:r>
      <w:r>
        <w:rPr>
          <w:rFonts w:hint="eastAsia" w:asciiTheme="minorEastAsia" w:hAnsiTheme="minorEastAsia" w:eastAsiaTheme="minorEastAsia" w:cstheme="minorEastAsia"/>
          <w:b w:val="0"/>
          <w:bCs w:val="0"/>
          <w:color w:val="auto"/>
          <w:sz w:val="28"/>
          <w:szCs w:val="28"/>
          <w:u w:val="single"/>
        </w:rPr>
        <w:tab/>
      </w:r>
    </w:p>
    <w:p>
      <w:pPr>
        <w:numPr>
          <w:ilvl w:val="255"/>
          <w:numId w:val="0"/>
        </w:num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（2）乙方</w:t>
      </w:r>
      <w:r>
        <w:rPr>
          <w:rFonts w:asciiTheme="minorEastAsia" w:hAnsiTheme="minorEastAsia"/>
          <w:color w:val="auto"/>
          <w:sz w:val="28"/>
          <w:szCs w:val="28"/>
        </w:rPr>
        <w:t>（</w:t>
      </w:r>
      <w:r>
        <w:rPr>
          <w:rFonts w:hint="eastAsia" w:asciiTheme="minorEastAsia" w:hAnsiTheme="minorEastAsia"/>
          <w:color w:val="auto"/>
          <w:sz w:val="28"/>
          <w:szCs w:val="28"/>
        </w:rPr>
        <w:t>即售电公司</w:t>
      </w:r>
      <w:r>
        <w:rPr>
          <w:rFonts w:asciiTheme="minorEastAsia" w:hAnsiTheme="minorEastAsia"/>
          <w:color w:val="auto"/>
          <w:sz w:val="28"/>
          <w:szCs w:val="28"/>
        </w:rPr>
        <w:t>）：</w:t>
      </w:r>
      <w:r>
        <w:rPr>
          <w:rFonts w:hint="eastAsia" w:ascii="宋体" w:hAnsi="宋体"/>
          <w:color w:val="auto"/>
          <w:sz w:val="28"/>
          <w:szCs w:val="28"/>
          <w:u w:val="single"/>
        </w:rPr>
        <w:t xml:space="preserve">                </w:t>
      </w:r>
      <w:r>
        <w:rPr>
          <w:rFonts w:asciiTheme="minorEastAsia" w:hAnsiTheme="minorEastAsia"/>
          <w:color w:val="auto"/>
          <w:sz w:val="28"/>
          <w:szCs w:val="28"/>
        </w:rPr>
        <w:t>，</w:t>
      </w:r>
      <w:r>
        <w:rPr>
          <w:rFonts w:hint="eastAsia" w:asciiTheme="minorEastAsia" w:hAnsiTheme="minorEastAsia"/>
          <w:color w:val="auto"/>
          <w:sz w:val="28"/>
          <w:szCs w:val="28"/>
        </w:rPr>
        <w:t xml:space="preserve">系一家具有            </w:t>
      </w:r>
      <w:r>
        <w:rPr>
          <w:rFonts w:hint="eastAsia" w:asciiTheme="minorEastAsia" w:hAnsiTheme="minorEastAsia"/>
          <w:color w:val="auto"/>
          <w:sz w:val="28"/>
          <w:szCs w:val="28"/>
          <w:u w:val="single"/>
        </w:rPr>
        <w:t>法人资格/经法人单位授权</w:t>
      </w:r>
      <w:r>
        <w:rPr>
          <w:rFonts w:hint="eastAsia" w:asciiTheme="minorEastAsia" w:hAnsiTheme="minorEastAsia"/>
          <w:color w:val="auto"/>
          <w:sz w:val="28"/>
          <w:szCs w:val="28"/>
        </w:rPr>
        <w:t>的售电公司，企业代码：</w:t>
      </w:r>
      <w:r>
        <w:rPr>
          <w:rFonts w:hint="eastAsia" w:asciiTheme="minorEastAsia" w:hAnsiTheme="minorEastAsia"/>
          <w:color w:val="auto"/>
          <w:sz w:val="28"/>
          <w:szCs w:val="28"/>
          <w:u w:val="single"/>
        </w:rPr>
        <w:t xml:space="preserve">        </w:t>
      </w:r>
      <w:r>
        <w:rPr>
          <w:rFonts w:hint="eastAsia" w:asciiTheme="minorEastAsia" w:hAnsiTheme="minorEastAsia"/>
          <w:color w:val="auto"/>
          <w:sz w:val="28"/>
          <w:szCs w:val="28"/>
        </w:rPr>
        <w:t>，</w:t>
      </w:r>
      <w:r>
        <w:rPr>
          <w:rFonts w:asciiTheme="minorEastAsia" w:hAnsiTheme="minorEastAsia"/>
          <w:color w:val="auto"/>
          <w:sz w:val="28"/>
          <w:szCs w:val="28"/>
        </w:rPr>
        <w:t>企业所在地为</w:t>
      </w:r>
      <w:r>
        <w:rPr>
          <w:rFonts w:hint="eastAsia" w:asciiTheme="minorEastAsia" w:hAnsiTheme="minorEastAsia"/>
          <w:color w:val="auto"/>
          <w:sz w:val="28"/>
          <w:szCs w:val="28"/>
          <w:u w:val="single"/>
        </w:rPr>
        <w:t xml:space="preserve">  </w:t>
      </w:r>
      <w:r>
        <w:rPr>
          <w:rFonts w:hint="eastAsia" w:ascii="宋体" w:hAnsi="宋体"/>
          <w:color w:val="auto"/>
          <w:sz w:val="28"/>
          <w:szCs w:val="28"/>
          <w:u w:val="single"/>
        </w:rPr>
        <w:t xml:space="preserve">    </w:t>
      </w:r>
      <w:r>
        <w:rPr>
          <w:rFonts w:hint="eastAsia" w:ascii="宋体" w:hAnsi="宋体"/>
          <w:color w:val="auto"/>
          <w:sz w:val="28"/>
          <w:szCs w:val="28"/>
        </w:rPr>
        <w:t>，</w:t>
      </w:r>
      <w:r>
        <w:rPr>
          <w:rFonts w:asciiTheme="minorEastAsia" w:hAnsiTheme="minorEastAsia"/>
          <w:color w:val="auto"/>
          <w:sz w:val="28"/>
          <w:szCs w:val="28"/>
        </w:rPr>
        <w:t>在</w:t>
      </w:r>
      <w:r>
        <w:rPr>
          <w:rFonts w:hint="eastAsia" w:asciiTheme="minorEastAsia" w:hAnsiTheme="minorEastAsia"/>
          <w:color w:val="auto"/>
          <w:sz w:val="28"/>
          <w:szCs w:val="28"/>
          <w:u w:val="single"/>
        </w:rPr>
        <w:t xml:space="preserve">  </w:t>
      </w:r>
      <w:r>
        <w:rPr>
          <w:rFonts w:hint="eastAsia" w:ascii="宋体" w:hAnsi="宋体"/>
          <w:color w:val="auto"/>
          <w:sz w:val="28"/>
          <w:szCs w:val="28"/>
          <w:u w:val="single"/>
        </w:rPr>
        <w:t xml:space="preserve">    </w:t>
      </w:r>
      <w:r>
        <w:rPr>
          <w:rFonts w:asciiTheme="minorEastAsia" w:hAnsiTheme="minorEastAsia"/>
          <w:color w:val="auto"/>
          <w:sz w:val="28"/>
          <w:szCs w:val="28"/>
        </w:rPr>
        <w:t>工商行政管理局登记注册，</w:t>
      </w:r>
      <w:r>
        <w:rPr>
          <w:rFonts w:hint="eastAsia" w:asciiTheme="minorEastAsia" w:hAnsiTheme="minorEastAsia"/>
          <w:color w:val="auto"/>
          <w:sz w:val="28"/>
          <w:szCs w:val="28"/>
        </w:rPr>
        <w:t>已按相关法规要求完成“一注册、一承诺、一公示、三备案”流程，按规定履行交易信用保证，具备售电资格，</w:t>
      </w:r>
      <w:r>
        <w:rPr>
          <w:rFonts w:asciiTheme="minorEastAsia" w:hAnsiTheme="minorEastAsia"/>
          <w:color w:val="auto"/>
          <w:sz w:val="28"/>
          <w:szCs w:val="28"/>
        </w:rPr>
        <w:t>统一社会信用代码（</w:t>
      </w:r>
      <w:r>
        <w:rPr>
          <w:rFonts w:hint="eastAsia" w:asciiTheme="minorEastAsia" w:hAnsiTheme="minorEastAsia"/>
          <w:color w:val="auto"/>
          <w:sz w:val="28"/>
          <w:szCs w:val="28"/>
        </w:rPr>
        <w:t>组织机构代码</w:t>
      </w:r>
      <w:r>
        <w:rPr>
          <w:rFonts w:asciiTheme="minorEastAsia" w:hAnsiTheme="minorEastAsia"/>
          <w:color w:val="auto"/>
          <w:sz w:val="28"/>
          <w:szCs w:val="28"/>
        </w:rPr>
        <w:t>）：</w:t>
      </w:r>
      <w:r>
        <w:rPr>
          <w:rFonts w:hint="eastAsia" w:ascii="宋体" w:hAnsi="宋体"/>
          <w:color w:val="auto"/>
          <w:sz w:val="28"/>
          <w:szCs w:val="28"/>
          <w:u w:val="single"/>
        </w:rPr>
        <w:t xml:space="preserve">          </w:t>
      </w:r>
      <w:r>
        <w:rPr>
          <w:rFonts w:hint="eastAsia" w:ascii="宋体" w:hAnsi="宋体"/>
          <w:color w:val="auto"/>
          <w:sz w:val="28"/>
          <w:szCs w:val="28"/>
        </w:rPr>
        <w:t>，法定代表人（企业负责人）：</w:t>
      </w:r>
      <w:r>
        <w:rPr>
          <w:rFonts w:hint="eastAsia" w:ascii="宋体" w:hAnsi="宋体"/>
          <w:color w:val="auto"/>
          <w:sz w:val="28"/>
          <w:szCs w:val="28"/>
          <w:u w:val="single"/>
        </w:rPr>
        <w:t xml:space="preserve">             </w:t>
      </w:r>
      <w:r>
        <w:rPr>
          <w:rFonts w:hint="eastAsia" w:ascii="宋体" w:hAnsi="宋体"/>
          <w:color w:val="auto"/>
          <w:sz w:val="28"/>
          <w:szCs w:val="28"/>
        </w:rPr>
        <w:t>，身份证号码：</w:t>
      </w:r>
      <w:r>
        <w:rPr>
          <w:rFonts w:hint="eastAsia" w:ascii="宋体" w:hAnsi="宋体"/>
          <w:color w:val="auto"/>
          <w:sz w:val="28"/>
          <w:szCs w:val="28"/>
          <w:u w:val="single"/>
        </w:rPr>
        <w:t xml:space="preserve">              </w:t>
      </w:r>
      <w:r>
        <w:rPr>
          <w:rFonts w:hint="eastAsia" w:asciiTheme="minorEastAsia" w:hAnsiTheme="minorEastAsia"/>
          <w:color w:val="auto"/>
          <w:sz w:val="28"/>
          <w:szCs w:val="28"/>
        </w:rPr>
        <w:t>。</w:t>
      </w:r>
    </w:p>
    <w:p>
      <w:pPr>
        <w:pStyle w:val="7"/>
        <w:ind w:left="527"/>
        <w:jc w:val="both"/>
        <w:outlineLvl w:val="9"/>
        <w:rPr>
          <w:rFonts w:asciiTheme="minorEastAsia" w:hAnsiTheme="minorEastAsia" w:eastAsiaTheme="minorEastAsia" w:cstheme="minorEastAsia"/>
          <w:color w:val="auto"/>
          <w:sz w:val="28"/>
          <w:szCs w:val="28"/>
        </w:rPr>
      </w:pPr>
      <w:bookmarkStart w:id="17" w:name="_Toc16565"/>
      <w:bookmarkStart w:id="18" w:name="_Toc29492"/>
      <w:r>
        <w:rPr>
          <w:rFonts w:hint="eastAsia" w:asciiTheme="minorEastAsia" w:hAnsiTheme="minorEastAsia" w:eastAsiaTheme="minorEastAsia" w:cstheme="minorEastAsia"/>
          <w:color w:val="auto"/>
          <w:sz w:val="28"/>
          <w:szCs w:val="28"/>
        </w:rPr>
        <w:t>乙方联络通讯信息：</w:t>
      </w:r>
      <w:bookmarkEnd w:id="17"/>
      <w:bookmarkEnd w:id="18"/>
    </w:p>
    <w:p>
      <w:pPr>
        <w:pStyle w:val="7"/>
        <w:tabs>
          <w:tab w:val="left" w:pos="1175"/>
          <w:tab w:val="left" w:pos="4684"/>
          <w:tab w:val="left" w:pos="9169"/>
        </w:tabs>
        <w:ind w:left="4729" w:leftChars="252" w:hanging="4200" w:hangingChars="1500"/>
        <w:jc w:val="both"/>
        <w:outlineLvl w:val="9"/>
        <w:rPr>
          <w:rFonts w:asciiTheme="minorEastAsia" w:hAnsiTheme="minorEastAsia" w:eastAsiaTheme="minorEastAsia" w:cstheme="minorEastAsia"/>
          <w:b w:val="0"/>
          <w:bCs w:val="0"/>
          <w:color w:val="auto"/>
          <w:sz w:val="28"/>
          <w:szCs w:val="28"/>
          <w:u w:val="single"/>
          <w:lang w:val="en-US"/>
        </w:rPr>
      </w:pPr>
      <w:bookmarkStart w:id="19" w:name="_Toc27187"/>
      <w:bookmarkStart w:id="20" w:name="_Toc3652"/>
      <w:r>
        <w:rPr>
          <w:rFonts w:hint="eastAsia" w:asciiTheme="minorEastAsia" w:hAnsiTheme="minorEastAsia" w:eastAsiaTheme="minorEastAsia" w:cstheme="minorEastAsia"/>
          <w:b w:val="0"/>
          <w:bCs w:val="0"/>
          <w:color w:val="auto"/>
          <w:sz w:val="28"/>
          <w:szCs w:val="28"/>
        </w:rPr>
        <w:t>联系人：</w:t>
      </w:r>
      <w:r>
        <w:rPr>
          <w:rFonts w:hint="eastAsia" w:asciiTheme="minorEastAsia" w:hAnsiTheme="minorEastAsia" w:eastAsiaTheme="minorEastAsia" w:cstheme="minorEastAsia"/>
          <w:b w:val="0"/>
          <w:bCs w:val="0"/>
          <w:color w:val="auto"/>
          <w:sz w:val="28"/>
          <w:szCs w:val="28"/>
          <w:u w:val="single"/>
          <w:lang w:val="en-US"/>
        </w:rPr>
        <w:t xml:space="preserve">                   </w:t>
      </w:r>
      <w:r>
        <w:rPr>
          <w:rFonts w:hint="eastAsia" w:asciiTheme="minorEastAsia" w:hAnsiTheme="minorEastAsia" w:eastAsiaTheme="minorEastAsia" w:cstheme="minorEastAsia"/>
          <w:b w:val="0"/>
          <w:bCs w:val="0"/>
          <w:color w:val="auto"/>
          <w:sz w:val="28"/>
          <w:szCs w:val="28"/>
          <w:lang w:val="en-US"/>
        </w:rPr>
        <w:t>电子邮箱：</w:t>
      </w:r>
      <w:bookmarkEnd w:id="19"/>
      <w:bookmarkEnd w:id="20"/>
      <w:r>
        <w:rPr>
          <w:rFonts w:hint="eastAsia" w:asciiTheme="minorEastAsia" w:hAnsiTheme="minorEastAsia" w:eastAsiaTheme="minorEastAsia" w:cstheme="minorEastAsia"/>
          <w:b w:val="0"/>
          <w:bCs w:val="0"/>
          <w:color w:val="auto"/>
          <w:sz w:val="28"/>
          <w:szCs w:val="28"/>
          <w:u w:val="single"/>
          <w:lang w:val="en-US"/>
        </w:rPr>
        <w:t xml:space="preserve">                   </w:t>
      </w:r>
    </w:p>
    <w:p>
      <w:pPr>
        <w:pStyle w:val="7"/>
        <w:tabs>
          <w:tab w:val="left" w:pos="1175"/>
          <w:tab w:val="left" w:pos="4684"/>
          <w:tab w:val="left" w:pos="9169"/>
        </w:tabs>
        <w:jc w:val="both"/>
        <w:outlineLvl w:val="9"/>
        <w:rPr>
          <w:rFonts w:asciiTheme="minorEastAsia" w:hAnsiTheme="minorEastAsia" w:eastAsiaTheme="minorEastAsia" w:cstheme="minorEastAsia"/>
          <w:b w:val="0"/>
          <w:bCs w:val="0"/>
          <w:color w:val="auto"/>
          <w:sz w:val="28"/>
          <w:szCs w:val="28"/>
          <w:lang w:val="en-US"/>
        </w:rPr>
      </w:pPr>
      <w:bookmarkStart w:id="21" w:name="_Toc30796"/>
      <w:bookmarkStart w:id="22" w:name="_Toc30405"/>
      <w:r>
        <w:rPr>
          <w:rFonts w:hint="eastAsia" w:asciiTheme="minorEastAsia" w:hAnsiTheme="minorEastAsia" w:eastAsiaTheme="minorEastAsia" w:cstheme="minorEastAsia"/>
          <w:b w:val="0"/>
          <w:bCs w:val="0"/>
          <w:color w:val="auto"/>
          <w:sz w:val="28"/>
          <w:szCs w:val="28"/>
        </w:rPr>
        <w:t>电话：</w:t>
      </w:r>
      <w:bookmarkEnd w:id="21"/>
      <w:bookmarkEnd w:id="22"/>
      <w:r>
        <w:rPr>
          <w:rFonts w:hint="eastAsia" w:asciiTheme="minorEastAsia" w:hAnsiTheme="minorEastAsia" w:eastAsiaTheme="minorEastAsia" w:cstheme="minorEastAsia"/>
          <w:b w:val="0"/>
          <w:bCs w:val="0"/>
          <w:color w:val="auto"/>
          <w:sz w:val="28"/>
          <w:szCs w:val="28"/>
          <w:u w:val="single"/>
          <w:lang w:val="en-US"/>
        </w:rPr>
        <w:t xml:space="preserve">                  </w:t>
      </w:r>
      <w:r>
        <w:rPr>
          <w:rFonts w:hint="eastAsia" w:asciiTheme="minorEastAsia" w:hAnsiTheme="minorEastAsia" w:eastAsiaTheme="minorEastAsia" w:cstheme="minorEastAsia"/>
          <w:b w:val="0"/>
          <w:bCs w:val="0"/>
          <w:color w:val="auto"/>
          <w:sz w:val="28"/>
          <w:szCs w:val="28"/>
          <w:lang w:val="en-US"/>
        </w:rPr>
        <w:t xml:space="preserve">  </w:t>
      </w:r>
    </w:p>
    <w:p>
      <w:pPr>
        <w:pStyle w:val="7"/>
        <w:tabs>
          <w:tab w:val="left" w:pos="1175"/>
          <w:tab w:val="left" w:pos="4684"/>
          <w:tab w:val="left" w:pos="9169"/>
        </w:tabs>
        <w:jc w:val="both"/>
        <w:outlineLvl w:val="9"/>
        <w:rPr>
          <w:rFonts w:ascii="Times New Roman" w:eastAsia="Times New Roman"/>
          <w:b w:val="0"/>
          <w:bCs w:val="0"/>
          <w:color w:val="auto"/>
        </w:rPr>
      </w:pPr>
      <w:bookmarkStart w:id="23" w:name="_Toc29407"/>
      <w:bookmarkStart w:id="24" w:name="_Toc17402"/>
      <w:r>
        <w:rPr>
          <w:rFonts w:hint="eastAsia" w:asciiTheme="minorEastAsia" w:hAnsiTheme="minorEastAsia" w:eastAsiaTheme="minorEastAsia" w:cstheme="minorEastAsia"/>
          <w:b w:val="0"/>
          <w:bCs w:val="0"/>
          <w:color w:val="auto"/>
          <w:sz w:val="28"/>
          <w:szCs w:val="28"/>
        </w:rPr>
        <w:t>联</w:t>
      </w:r>
      <w:r>
        <w:rPr>
          <w:rFonts w:hint="eastAsia" w:asciiTheme="minorEastAsia" w:hAnsiTheme="minorEastAsia" w:eastAsiaTheme="minorEastAsia" w:cstheme="minorEastAsia"/>
          <w:b w:val="0"/>
          <w:bCs w:val="0"/>
          <w:color w:val="auto"/>
          <w:spacing w:val="15"/>
          <w:sz w:val="28"/>
          <w:szCs w:val="28"/>
        </w:rPr>
        <w:t>系</w:t>
      </w:r>
      <w:r>
        <w:rPr>
          <w:rFonts w:hint="eastAsia" w:asciiTheme="minorEastAsia" w:hAnsiTheme="minorEastAsia" w:eastAsiaTheme="minorEastAsia" w:cstheme="minorEastAsia"/>
          <w:b w:val="0"/>
          <w:bCs w:val="0"/>
          <w:color w:val="auto"/>
          <w:spacing w:val="-145"/>
          <w:sz w:val="28"/>
          <w:szCs w:val="28"/>
        </w:rPr>
        <w:t xml:space="preserve"> </w:t>
      </w:r>
      <w:r>
        <w:rPr>
          <w:rFonts w:hint="eastAsia" w:asciiTheme="minorEastAsia" w:hAnsiTheme="minorEastAsia" w:eastAsiaTheme="minorEastAsia" w:cstheme="minorEastAsia"/>
          <w:b w:val="0"/>
          <w:bCs w:val="0"/>
          <w:color w:val="auto"/>
          <w:sz w:val="28"/>
          <w:szCs w:val="28"/>
        </w:rPr>
        <w:t>地址</w:t>
      </w:r>
      <w:r>
        <w:rPr>
          <w:rFonts w:hint="eastAsia" w:asciiTheme="minorEastAsia" w:hAnsiTheme="minorEastAsia" w:eastAsiaTheme="minorEastAsia" w:cstheme="minorEastAsia"/>
          <w:b w:val="0"/>
          <w:bCs w:val="0"/>
          <w:color w:val="auto"/>
          <w:spacing w:val="15"/>
          <w:sz w:val="28"/>
          <w:szCs w:val="28"/>
        </w:rPr>
        <w:t>：</w:t>
      </w:r>
      <w:bookmarkEnd w:id="23"/>
      <w:bookmarkEnd w:id="24"/>
      <w:r>
        <w:rPr>
          <w:rFonts w:hint="eastAsia" w:asciiTheme="minorEastAsia" w:hAnsiTheme="minorEastAsia" w:eastAsiaTheme="minorEastAsia" w:cstheme="minorEastAsia"/>
          <w:b w:val="0"/>
          <w:bCs w:val="0"/>
          <w:color w:val="auto"/>
          <w:sz w:val="28"/>
          <w:szCs w:val="28"/>
          <w:u w:val="single"/>
        </w:rPr>
        <w:t xml:space="preserve"> </w:t>
      </w:r>
      <w:r>
        <w:rPr>
          <w:rFonts w:hint="eastAsia" w:asciiTheme="minorEastAsia" w:hAnsiTheme="minorEastAsia" w:eastAsiaTheme="minorEastAsia" w:cstheme="minorEastAsia"/>
          <w:b w:val="0"/>
          <w:bCs w:val="0"/>
          <w:color w:val="auto"/>
          <w:sz w:val="28"/>
          <w:szCs w:val="28"/>
          <w:u w:val="single"/>
        </w:rPr>
        <w:tab/>
      </w:r>
      <w:r>
        <w:rPr>
          <w:rFonts w:hint="eastAsia" w:asciiTheme="minorEastAsia" w:hAnsiTheme="minorEastAsia" w:eastAsiaTheme="minorEastAsia" w:cstheme="minorEastAsia"/>
          <w:b w:val="0"/>
          <w:bCs w:val="0"/>
          <w:color w:val="auto"/>
          <w:sz w:val="28"/>
          <w:szCs w:val="28"/>
          <w:u w:val="single"/>
        </w:rPr>
        <w:tab/>
      </w:r>
    </w:p>
    <w:p>
      <w:pPr>
        <w:pStyle w:val="18"/>
        <w:tabs>
          <w:tab w:val="right" w:leader="dot" w:pos="10530"/>
        </w:tabs>
        <w:ind w:firstLine="560" w:firstLineChars="200"/>
        <w:jc w:val="both"/>
        <w:rPr>
          <w:color w:val="auto"/>
        </w:rPr>
      </w:pPr>
      <w:r>
        <w:rPr>
          <w:rFonts w:hint="eastAsia" w:asciiTheme="minorEastAsia" w:hAnsiTheme="minorEastAsia" w:eastAsiaTheme="minorEastAsia" w:cstheme="minorEastAsia"/>
          <w:color w:val="auto"/>
          <w:sz w:val="28"/>
          <w:szCs w:val="28"/>
        </w:rPr>
        <w:t>甲乙</w:t>
      </w:r>
      <w:r>
        <w:rPr>
          <w:rFonts w:hint="eastAsia" w:asciiTheme="minorEastAsia" w:hAnsiTheme="minorEastAsia" w:eastAsiaTheme="minorEastAsia"/>
          <w:color w:val="auto"/>
          <w:sz w:val="28"/>
          <w:szCs w:val="28"/>
        </w:rPr>
        <w:t>双方根据国家有关法律、法规，按照电力交易规则、年度市场化交易实施方案以及交易公告等，本着平等、自愿</w:t>
      </w:r>
      <w:r>
        <w:rPr>
          <w:rFonts w:asciiTheme="minorEastAsia" w:hAnsiTheme="minorEastAsia" w:eastAsiaTheme="minorEastAsia"/>
          <w:color w:val="auto"/>
          <w:sz w:val="28"/>
          <w:szCs w:val="28"/>
        </w:rPr>
        <w:t>、公平和</w:t>
      </w:r>
      <w:r>
        <w:rPr>
          <w:rFonts w:hint="eastAsia" w:asciiTheme="minorEastAsia" w:hAnsiTheme="minorEastAsia" w:eastAsiaTheme="minorEastAsia"/>
          <w:color w:val="auto"/>
          <w:sz w:val="28"/>
          <w:szCs w:val="28"/>
        </w:rPr>
        <w:t>诚信的原则，经协商一致，签订</w:t>
      </w:r>
      <w:r>
        <w:rPr>
          <w:rFonts w:hint="eastAsia" w:asciiTheme="minorEastAsia" w:hAnsiTheme="minorEastAsia"/>
          <w:color w:val="auto"/>
          <w:sz w:val="28"/>
          <w:szCs w:val="28"/>
        </w:rPr>
        <w:t>广西电力市场零售服务</w:t>
      </w:r>
      <w:r>
        <w:rPr>
          <w:rFonts w:hint="eastAsia" w:asciiTheme="minorEastAsia" w:hAnsiTheme="minorEastAsia" w:eastAsiaTheme="minorEastAsia"/>
          <w:color w:val="auto"/>
          <w:sz w:val="28"/>
          <w:szCs w:val="28"/>
        </w:rPr>
        <w:t>合同（以下简称“本合同”）。</w:t>
      </w:r>
    </w:p>
    <w:p>
      <w:pPr>
        <w:pStyle w:val="17"/>
        <w:spacing w:beforeLines="50" w:beforeAutospacing="0" w:afterLines="50" w:afterAutospacing="0"/>
        <w:ind w:left="0" w:leftChars="0"/>
        <w:jc w:val="center"/>
        <w:outlineLvl w:val="0"/>
        <w:rPr>
          <w:rFonts w:ascii="黑体" w:hAnsi="黑体" w:eastAsia="黑体" w:cs="黑体"/>
          <w:color w:val="auto"/>
          <w:sz w:val="30"/>
          <w:szCs w:val="30"/>
        </w:rPr>
      </w:pPr>
      <w:bookmarkStart w:id="25" w:name="_Toc13336_WPSOffice_Level1"/>
      <w:bookmarkStart w:id="26" w:name="_Toc8784"/>
      <w:r>
        <w:rPr>
          <w:rFonts w:hint="eastAsia" w:ascii="黑体" w:hAnsi="黑体" w:eastAsia="黑体" w:cs="黑体"/>
          <w:color w:val="auto"/>
          <w:sz w:val="30"/>
          <w:szCs w:val="30"/>
        </w:rPr>
        <w:t>第1章　</w:t>
      </w:r>
      <w:bookmarkEnd w:id="0"/>
      <w:r>
        <w:rPr>
          <w:rFonts w:hint="eastAsia" w:ascii="黑体" w:hAnsi="黑体" w:eastAsia="黑体" w:cs="黑体"/>
          <w:color w:val="auto"/>
          <w:sz w:val="30"/>
          <w:szCs w:val="30"/>
        </w:rPr>
        <w:t>定义和说明</w:t>
      </w:r>
      <w:bookmarkEnd w:id="1"/>
      <w:bookmarkEnd w:id="2"/>
      <w:bookmarkEnd w:id="25"/>
      <w:bookmarkEnd w:id="26"/>
    </w:p>
    <w:p>
      <w:pPr>
        <w:rPr>
          <w:rFonts w:asciiTheme="minorEastAsia" w:hAnsiTheme="minorEastAsia"/>
          <w:color w:val="auto"/>
          <w:sz w:val="28"/>
          <w:szCs w:val="28"/>
        </w:rPr>
      </w:pPr>
      <w:r>
        <w:rPr>
          <w:rFonts w:asciiTheme="minorEastAsia" w:hAnsiTheme="minorEastAsia"/>
          <w:color w:val="auto"/>
          <w:sz w:val="28"/>
          <w:szCs w:val="28"/>
        </w:rPr>
        <w:t>　　1.1定义</w:t>
      </w:r>
    </w:p>
    <w:p>
      <w:pPr>
        <w:ind w:firstLine="560"/>
        <w:rPr>
          <w:rFonts w:asciiTheme="minorEastAsia" w:hAnsiTheme="minorEastAsia"/>
          <w:color w:val="auto"/>
          <w:sz w:val="28"/>
          <w:szCs w:val="28"/>
        </w:rPr>
      </w:pPr>
      <w:r>
        <w:rPr>
          <w:rFonts w:hint="eastAsia" w:asciiTheme="minorEastAsia" w:hAnsiTheme="minorEastAsia"/>
          <w:color w:val="auto"/>
          <w:sz w:val="28"/>
          <w:szCs w:val="28"/>
        </w:rPr>
        <w:t>1.1.1电力</w:t>
      </w:r>
      <w:r>
        <w:rPr>
          <w:rFonts w:asciiTheme="minorEastAsia" w:hAnsiTheme="minorEastAsia"/>
          <w:color w:val="auto"/>
          <w:sz w:val="28"/>
          <w:szCs w:val="28"/>
        </w:rPr>
        <w:t>交易中心：指广</w:t>
      </w:r>
      <w:r>
        <w:rPr>
          <w:rFonts w:hint="eastAsia" w:asciiTheme="minorEastAsia" w:hAnsiTheme="minorEastAsia"/>
          <w:color w:val="auto"/>
          <w:sz w:val="28"/>
          <w:szCs w:val="28"/>
        </w:rPr>
        <w:t>西</w:t>
      </w:r>
      <w:r>
        <w:rPr>
          <w:rFonts w:asciiTheme="minorEastAsia" w:hAnsiTheme="minorEastAsia"/>
          <w:color w:val="auto"/>
          <w:sz w:val="28"/>
          <w:szCs w:val="28"/>
        </w:rPr>
        <w:t>电力交易中心有限责任公司。</w:t>
      </w:r>
    </w:p>
    <w:p>
      <w:pPr>
        <w:ind w:firstLine="560"/>
        <w:rPr>
          <w:rFonts w:hint="eastAsia" w:cs="Times New Roman" w:asciiTheme="minorEastAsia" w:hAnsiTheme="minorEastAsia"/>
          <w:snapToGrid/>
          <w:kern w:val="2"/>
          <w:sz w:val="28"/>
          <w:szCs w:val="28"/>
          <w:lang w:val="en-US" w:eastAsia="zh-CN"/>
        </w:rPr>
      </w:pPr>
      <w:r>
        <w:rPr>
          <w:rFonts w:hint="eastAsia" w:asciiTheme="minorEastAsia" w:hAnsiTheme="minorEastAsia"/>
          <w:color w:val="auto"/>
          <w:sz w:val="28"/>
          <w:szCs w:val="28"/>
        </w:rPr>
        <w:t>1</w:t>
      </w:r>
      <w:r>
        <w:rPr>
          <w:rFonts w:asciiTheme="minorEastAsia" w:hAnsiTheme="minorEastAsia"/>
          <w:color w:val="auto"/>
          <w:sz w:val="28"/>
          <w:szCs w:val="28"/>
        </w:rPr>
        <w:t>.</w:t>
      </w:r>
      <w:r>
        <w:rPr>
          <w:rFonts w:hint="eastAsia" w:asciiTheme="minorEastAsia" w:hAnsiTheme="minorEastAsia"/>
          <w:color w:val="auto"/>
          <w:sz w:val="28"/>
          <w:szCs w:val="28"/>
        </w:rPr>
        <w:t>1.2</w:t>
      </w:r>
      <w:r>
        <w:rPr>
          <w:rFonts w:hint="eastAsia" w:cs="Times New Roman" w:asciiTheme="minorEastAsia" w:hAnsiTheme="minorEastAsia" w:eastAsiaTheme="minorEastAsia"/>
          <w:snapToGrid/>
          <w:kern w:val="2"/>
          <w:sz w:val="28"/>
          <w:szCs w:val="28"/>
          <w:lang w:val="en-US" w:eastAsia="zh-CN"/>
        </w:rPr>
        <w:t>南方区域电力交易平台（广西）：是指电力交易机构负责建设、运营和维护的电力市场化交易技术支持系统（以下简称“电力交易平台”）</w:t>
      </w:r>
      <w:r>
        <w:rPr>
          <w:rFonts w:hint="eastAsia" w:cs="Times New Roman" w:asciiTheme="minorEastAsia" w:hAnsiTheme="minorEastAsia"/>
          <w:snapToGrid/>
          <w:kern w:val="2"/>
          <w:sz w:val="28"/>
          <w:szCs w:val="28"/>
          <w:lang w:val="en-US" w:eastAsia="zh-CN"/>
        </w:rPr>
        <w:t>。</w:t>
      </w:r>
    </w:p>
    <w:p>
      <w:pPr>
        <w:ind w:firstLine="560"/>
        <w:rPr>
          <w:rFonts w:asciiTheme="minorEastAsia" w:hAnsiTheme="minorEastAsia"/>
          <w:color w:val="auto"/>
          <w:sz w:val="28"/>
          <w:szCs w:val="28"/>
        </w:rPr>
      </w:pPr>
      <w:r>
        <w:rPr>
          <w:rFonts w:hint="eastAsia" w:asciiTheme="minorEastAsia" w:hAnsiTheme="minorEastAsia"/>
          <w:color w:val="auto"/>
          <w:sz w:val="28"/>
          <w:szCs w:val="28"/>
        </w:rPr>
        <w:t>1.1.</w:t>
      </w:r>
      <w:r>
        <w:rPr>
          <w:rFonts w:asciiTheme="minorEastAsia" w:hAnsiTheme="minorEastAsia"/>
          <w:color w:val="auto"/>
          <w:sz w:val="28"/>
          <w:szCs w:val="28"/>
        </w:rPr>
        <w:t>3零售用户：指</w:t>
      </w:r>
      <w:r>
        <w:rPr>
          <w:rFonts w:hint="eastAsia" w:cs="Times New Roman" w:asciiTheme="minorEastAsia" w:hAnsiTheme="minorEastAsia"/>
          <w:color w:val="auto"/>
          <w:sz w:val="28"/>
          <w:szCs w:val="28"/>
        </w:rPr>
        <w:t>参与电力零售交易的电力用户</w:t>
      </w:r>
      <w:r>
        <w:rPr>
          <w:rFonts w:asciiTheme="minorEastAsia" w:hAnsiTheme="minorEastAsia"/>
          <w:color w:val="auto"/>
          <w:sz w:val="28"/>
          <w:szCs w:val="28"/>
        </w:rPr>
        <w:t>。</w:t>
      </w:r>
    </w:p>
    <w:p>
      <w:pPr>
        <w:ind w:firstLine="560"/>
        <w:rPr>
          <w:rFonts w:asciiTheme="minorEastAsia" w:hAnsiTheme="minorEastAsia"/>
          <w:color w:val="auto"/>
          <w:sz w:val="28"/>
          <w:szCs w:val="28"/>
        </w:rPr>
      </w:pPr>
      <w:r>
        <w:rPr>
          <w:rFonts w:hint="eastAsia" w:asciiTheme="minorEastAsia" w:hAnsiTheme="minorEastAsia"/>
          <w:color w:val="auto"/>
          <w:sz w:val="28"/>
          <w:szCs w:val="28"/>
        </w:rPr>
        <w:t>1.1.</w:t>
      </w:r>
      <w:r>
        <w:rPr>
          <w:rFonts w:asciiTheme="minorEastAsia" w:hAnsiTheme="minorEastAsia"/>
          <w:color w:val="auto"/>
          <w:sz w:val="28"/>
          <w:szCs w:val="28"/>
        </w:rPr>
        <w:t>4零售</w:t>
      </w:r>
      <w:r>
        <w:rPr>
          <w:rFonts w:hint="eastAsia" w:asciiTheme="minorEastAsia" w:hAnsiTheme="minorEastAsia"/>
          <w:color w:val="auto"/>
          <w:sz w:val="28"/>
          <w:szCs w:val="28"/>
        </w:rPr>
        <w:t>服务</w:t>
      </w:r>
      <w:r>
        <w:rPr>
          <w:rFonts w:asciiTheme="minorEastAsia" w:hAnsiTheme="minorEastAsia"/>
          <w:color w:val="auto"/>
          <w:sz w:val="28"/>
          <w:szCs w:val="28"/>
        </w:rPr>
        <w:t>合同：指</w:t>
      </w:r>
      <w:r>
        <w:rPr>
          <w:rFonts w:hint="eastAsia" w:asciiTheme="minorEastAsia" w:hAnsiTheme="minorEastAsia"/>
          <w:color w:val="auto"/>
          <w:sz w:val="28"/>
          <w:szCs w:val="28"/>
        </w:rPr>
        <w:t>售电公司</w:t>
      </w:r>
      <w:r>
        <w:rPr>
          <w:rFonts w:asciiTheme="minorEastAsia" w:hAnsiTheme="minorEastAsia"/>
          <w:color w:val="auto"/>
          <w:sz w:val="28"/>
          <w:szCs w:val="28"/>
        </w:rPr>
        <w:t>与其</w:t>
      </w:r>
      <w:r>
        <w:rPr>
          <w:rFonts w:hint="eastAsia" w:asciiTheme="minorEastAsia" w:hAnsiTheme="minorEastAsia"/>
          <w:color w:val="auto"/>
          <w:sz w:val="28"/>
          <w:szCs w:val="28"/>
          <w:lang w:val="en-US" w:eastAsia="zh-CN"/>
        </w:rPr>
        <w:t>服务的零售</w:t>
      </w:r>
      <w:r>
        <w:rPr>
          <w:rFonts w:asciiTheme="minorEastAsia" w:hAnsiTheme="minorEastAsia"/>
          <w:color w:val="auto"/>
          <w:sz w:val="28"/>
          <w:szCs w:val="28"/>
        </w:rPr>
        <w:t>用户签订的明确量、价、费等权责的合同统称。</w:t>
      </w:r>
    </w:p>
    <w:p>
      <w:pPr>
        <w:ind w:firstLine="560"/>
        <w:rPr>
          <w:rFonts w:asciiTheme="minorEastAsia" w:hAnsiTheme="minorEastAsia"/>
          <w:color w:val="auto"/>
          <w:sz w:val="28"/>
          <w:szCs w:val="28"/>
        </w:rPr>
      </w:pPr>
      <w:r>
        <w:rPr>
          <w:rFonts w:hint="eastAsia" w:asciiTheme="minorEastAsia" w:hAnsiTheme="minorEastAsia"/>
          <w:color w:val="auto"/>
          <w:sz w:val="28"/>
          <w:szCs w:val="28"/>
        </w:rPr>
        <w:t>1.1.5零售结算：指交易中心按照市场主体签订的电子零售合同进行费用计算，经市场主体确认后形成结算依据，由电网企业进行电费计算、复核、发行及收付的过程。</w:t>
      </w:r>
    </w:p>
    <w:p>
      <w:pPr>
        <w:ind w:firstLine="560"/>
        <w:rPr>
          <w:color w:val="auto"/>
        </w:rPr>
      </w:pPr>
      <w:r>
        <w:rPr>
          <w:rFonts w:hint="eastAsia" w:asciiTheme="minorEastAsia" w:hAnsiTheme="minorEastAsia"/>
          <w:color w:val="auto"/>
          <w:sz w:val="28"/>
          <w:szCs w:val="28"/>
        </w:rPr>
        <w:t>1.1.6零售结算</w:t>
      </w:r>
      <w:r>
        <w:rPr>
          <w:rFonts w:hint="eastAsia" w:asciiTheme="minorEastAsia" w:hAnsiTheme="minorEastAsia"/>
          <w:color w:val="auto"/>
          <w:sz w:val="28"/>
          <w:szCs w:val="28"/>
          <w:lang w:val="en-US" w:eastAsia="zh-CN"/>
        </w:rPr>
        <w:t>方案</w:t>
      </w:r>
      <w:r>
        <w:rPr>
          <w:rFonts w:hint="eastAsia" w:asciiTheme="minorEastAsia" w:hAnsiTheme="minorEastAsia"/>
          <w:color w:val="auto"/>
          <w:sz w:val="28"/>
          <w:szCs w:val="28"/>
        </w:rPr>
        <w:t>：指零售合同所约定的不同零售结算套餐，组合形成零售结算方案。</w:t>
      </w:r>
    </w:p>
    <w:p>
      <w:pPr>
        <w:ind w:firstLine="560"/>
        <w:rPr>
          <w:rFonts w:asciiTheme="minorEastAsia" w:hAnsiTheme="minorEastAsia"/>
          <w:color w:val="auto"/>
          <w:sz w:val="28"/>
          <w:szCs w:val="28"/>
        </w:rPr>
      </w:pPr>
      <w:r>
        <w:rPr>
          <w:rFonts w:hint="eastAsia" w:asciiTheme="minorEastAsia" w:hAnsiTheme="minorEastAsia"/>
          <w:color w:val="auto"/>
          <w:sz w:val="28"/>
          <w:szCs w:val="28"/>
        </w:rPr>
        <w:t>1.1.7</w:t>
      </w:r>
      <w:r>
        <w:rPr>
          <w:rFonts w:asciiTheme="minorEastAsia" w:hAnsiTheme="minorEastAsia"/>
          <w:color w:val="auto"/>
          <w:sz w:val="28"/>
          <w:szCs w:val="28"/>
        </w:rPr>
        <w:t>计量点：指</w:t>
      </w:r>
      <w:r>
        <w:rPr>
          <w:rFonts w:hint="eastAsia" w:asciiTheme="minorEastAsia" w:hAnsiTheme="minorEastAsia"/>
          <w:color w:val="auto"/>
          <w:sz w:val="28"/>
          <w:szCs w:val="28"/>
        </w:rPr>
        <w:t>本合同涉及的用户侧计量点，以</w:t>
      </w:r>
      <w:r>
        <w:rPr>
          <w:rFonts w:hint="eastAsia" w:asciiTheme="minorEastAsia" w:hAnsiTheme="minorEastAsia"/>
          <w:color w:val="auto"/>
          <w:sz w:val="28"/>
          <w:szCs w:val="28"/>
          <w:lang w:val="en-US" w:eastAsia="zh-CN"/>
        </w:rPr>
        <w:t>甲方</w:t>
      </w:r>
      <w:r>
        <w:rPr>
          <w:rFonts w:hint="eastAsia" w:asciiTheme="minorEastAsia" w:hAnsiTheme="minorEastAsia"/>
          <w:color w:val="auto"/>
          <w:sz w:val="28"/>
          <w:szCs w:val="28"/>
        </w:rPr>
        <w:t>与电网企业在《供用电合同》中约定</w:t>
      </w:r>
      <w:r>
        <w:rPr>
          <w:rFonts w:asciiTheme="minorEastAsia" w:hAnsiTheme="minorEastAsia"/>
          <w:color w:val="auto"/>
          <w:sz w:val="28"/>
          <w:szCs w:val="28"/>
        </w:rPr>
        <w:t>的电能计量装置关口表安装位置</w:t>
      </w:r>
      <w:r>
        <w:rPr>
          <w:rFonts w:hint="eastAsia" w:asciiTheme="minorEastAsia" w:hAnsiTheme="minorEastAsia"/>
          <w:color w:val="auto"/>
          <w:sz w:val="28"/>
          <w:szCs w:val="28"/>
        </w:rPr>
        <w:t>为准</w:t>
      </w:r>
      <w:r>
        <w:rPr>
          <w:rFonts w:asciiTheme="minorEastAsia" w:hAnsiTheme="minorEastAsia"/>
          <w:color w:val="auto"/>
          <w:sz w:val="28"/>
          <w:szCs w:val="28"/>
        </w:rPr>
        <w:t>。</w:t>
      </w:r>
    </w:p>
    <w:p>
      <w:pPr>
        <w:rPr>
          <w:rFonts w:asciiTheme="minorEastAsia" w:hAnsiTheme="minorEastAsia"/>
          <w:color w:val="auto"/>
          <w:sz w:val="28"/>
          <w:szCs w:val="28"/>
        </w:rPr>
      </w:pPr>
      <w:r>
        <w:rPr>
          <w:rFonts w:asciiTheme="minorEastAsia" w:hAnsiTheme="minorEastAsia"/>
          <w:color w:val="auto"/>
          <w:sz w:val="28"/>
          <w:szCs w:val="28"/>
        </w:rPr>
        <w:t>　　1.1.</w:t>
      </w:r>
      <w:r>
        <w:rPr>
          <w:rFonts w:hint="eastAsia" w:asciiTheme="minorEastAsia" w:hAnsiTheme="minorEastAsia"/>
          <w:color w:val="auto"/>
          <w:sz w:val="28"/>
          <w:szCs w:val="28"/>
        </w:rPr>
        <w:t>8</w:t>
      </w:r>
      <w:r>
        <w:rPr>
          <w:rFonts w:asciiTheme="minorEastAsia" w:hAnsiTheme="minorEastAsia"/>
          <w:color w:val="auto"/>
          <w:sz w:val="28"/>
          <w:szCs w:val="28"/>
        </w:rPr>
        <w:t>紧急情况：指电力系统发生事故或发电、输配电、用电设备发生重大事故，电网频率或者电压超出规定范围，输变电设备负载超过规定值，主干线路功率超出规定的稳定限额以及其他威胁电网安全运行，有可能破坏电网稳定，导致电网瓦解以至大面积停电等运行情况，并且该情况在结束后得到电力监管机构确认。</w:t>
      </w:r>
    </w:p>
    <w:p>
      <w:pPr>
        <w:ind w:firstLine="560"/>
        <w:rPr>
          <w:rFonts w:asciiTheme="minorEastAsia" w:hAnsiTheme="minorEastAsia"/>
          <w:color w:val="auto"/>
          <w:sz w:val="28"/>
          <w:szCs w:val="28"/>
        </w:rPr>
      </w:pPr>
      <w:r>
        <w:rPr>
          <w:rFonts w:asciiTheme="minorEastAsia" w:hAnsiTheme="minorEastAsia"/>
          <w:color w:val="auto"/>
          <w:sz w:val="28"/>
          <w:szCs w:val="28"/>
        </w:rPr>
        <w:t>1.1.</w:t>
      </w:r>
      <w:r>
        <w:rPr>
          <w:rFonts w:hint="eastAsia" w:asciiTheme="minorEastAsia" w:hAnsiTheme="minorEastAsia"/>
          <w:color w:val="auto"/>
          <w:sz w:val="28"/>
          <w:szCs w:val="28"/>
        </w:rPr>
        <w:t>9工作日：指除星期六、星期日及法定节假日以外的公历日。</w:t>
      </w:r>
    </w:p>
    <w:p>
      <w:pPr>
        <w:ind w:firstLine="560"/>
        <w:rPr>
          <w:rFonts w:asciiTheme="minorEastAsia" w:hAnsiTheme="minorEastAsia"/>
          <w:color w:val="auto"/>
          <w:sz w:val="28"/>
          <w:szCs w:val="28"/>
        </w:rPr>
      </w:pPr>
      <w:r>
        <w:rPr>
          <w:rFonts w:hint="eastAsia" w:asciiTheme="minorEastAsia" w:hAnsiTheme="minorEastAsia"/>
          <w:color w:val="auto"/>
          <w:sz w:val="28"/>
          <w:szCs w:val="28"/>
        </w:rPr>
        <w:t>1.1.10</w:t>
      </w:r>
      <w:r>
        <w:rPr>
          <w:rFonts w:asciiTheme="minorEastAsia" w:hAnsiTheme="minorEastAsia"/>
          <w:color w:val="auto"/>
          <w:sz w:val="28"/>
          <w:szCs w:val="28"/>
        </w:rPr>
        <w:t>不可抗力：指不能预见、不能避免并不能克服的客观情况。包括：火山爆发、龙卷风、海啸、暴风雨、泥石流、山体滑坡、水灾、火灾、超设计标准的地震、台风、雷电、雾闪</w:t>
      </w:r>
      <w:r>
        <w:rPr>
          <w:rFonts w:hint="eastAsia" w:asciiTheme="minorEastAsia" w:hAnsiTheme="minorEastAsia"/>
          <w:color w:val="auto"/>
          <w:sz w:val="28"/>
          <w:szCs w:val="28"/>
        </w:rPr>
        <w:t>等，电力市场技术支持相关系统发生重大故障、政府行为</w:t>
      </w:r>
      <w:r>
        <w:rPr>
          <w:rFonts w:asciiTheme="minorEastAsia" w:hAnsiTheme="minorEastAsia"/>
          <w:color w:val="auto"/>
          <w:sz w:val="28"/>
          <w:szCs w:val="28"/>
        </w:rPr>
        <w:t>以及核辐射、战争、瘟疫、骚乱等。</w:t>
      </w:r>
    </w:p>
    <w:p>
      <w:pPr>
        <w:ind w:firstLine="560"/>
        <w:rPr>
          <w:color w:val="auto"/>
        </w:rPr>
      </w:pPr>
      <w:r>
        <w:rPr>
          <w:rFonts w:hint="eastAsia" w:cs="Times New Roman" w:asciiTheme="minorEastAsia" w:hAnsiTheme="minorEastAsia"/>
          <w:color w:val="auto"/>
          <w:sz w:val="28"/>
          <w:szCs w:val="28"/>
        </w:rPr>
        <w:t>1.1.11电力调度机构：本合同特指广西电网有限责任公司电力调度控制中心。</w:t>
      </w:r>
    </w:p>
    <w:p>
      <w:pPr>
        <w:rPr>
          <w:rFonts w:asciiTheme="minorEastAsia" w:hAnsiTheme="minorEastAsia"/>
          <w:color w:val="auto"/>
          <w:sz w:val="28"/>
          <w:szCs w:val="28"/>
        </w:rPr>
      </w:pPr>
      <w:r>
        <w:rPr>
          <w:rFonts w:asciiTheme="minorEastAsia" w:hAnsiTheme="minorEastAsia"/>
          <w:color w:val="auto"/>
          <w:sz w:val="28"/>
          <w:szCs w:val="28"/>
        </w:rPr>
        <w:t>　　1.2</w:t>
      </w:r>
      <w:r>
        <w:rPr>
          <w:rFonts w:hint="eastAsia" w:asciiTheme="minorEastAsia" w:hAnsiTheme="minorEastAsia"/>
          <w:color w:val="auto"/>
          <w:sz w:val="28"/>
          <w:szCs w:val="28"/>
        </w:rPr>
        <w:t>说明</w:t>
      </w:r>
    </w:p>
    <w:p>
      <w:pPr>
        <w:rPr>
          <w:rFonts w:asciiTheme="minorEastAsia" w:hAnsiTheme="minorEastAsia"/>
          <w:color w:val="auto"/>
          <w:sz w:val="28"/>
          <w:szCs w:val="28"/>
        </w:rPr>
      </w:pPr>
      <w:r>
        <w:rPr>
          <w:rFonts w:asciiTheme="minorEastAsia" w:hAnsiTheme="minorEastAsia"/>
          <w:color w:val="auto"/>
          <w:sz w:val="28"/>
          <w:szCs w:val="28"/>
        </w:rPr>
        <w:t>　　1.2.1本合同中的标题仅为阅读方便，不应被视为本合同的组成部分，亦不应以任何方式影响对本合同的解释。</w:t>
      </w:r>
    </w:p>
    <w:p>
      <w:pPr>
        <w:ind w:firstLine="560"/>
        <w:rPr>
          <w:rFonts w:asciiTheme="minorEastAsia" w:hAnsiTheme="minorEastAsia"/>
          <w:color w:val="auto"/>
          <w:sz w:val="28"/>
          <w:szCs w:val="28"/>
        </w:rPr>
      </w:pPr>
      <w:r>
        <w:rPr>
          <w:rFonts w:hint="eastAsia" w:asciiTheme="minorEastAsia" w:hAnsiTheme="minorEastAsia"/>
          <w:color w:val="auto"/>
          <w:sz w:val="28"/>
          <w:szCs w:val="28"/>
        </w:rPr>
        <w:t>1.2.2</w:t>
      </w:r>
      <w:r>
        <w:rPr>
          <w:rFonts w:asciiTheme="minorEastAsia" w:hAnsiTheme="minorEastAsia"/>
          <w:color w:val="auto"/>
          <w:sz w:val="28"/>
          <w:szCs w:val="28"/>
        </w:rPr>
        <w:t>本合同附件与正文具有同等的法律效力。</w:t>
      </w:r>
    </w:p>
    <w:p>
      <w:pPr>
        <w:rPr>
          <w:rFonts w:asciiTheme="minorEastAsia" w:hAnsiTheme="minorEastAsia"/>
          <w:color w:val="auto"/>
          <w:sz w:val="28"/>
          <w:szCs w:val="28"/>
        </w:rPr>
      </w:pPr>
      <w:r>
        <w:rPr>
          <w:rFonts w:asciiTheme="minorEastAsia" w:hAnsiTheme="minorEastAsia"/>
          <w:color w:val="auto"/>
          <w:sz w:val="28"/>
          <w:szCs w:val="28"/>
        </w:rPr>
        <w:t>　　1.2.</w:t>
      </w:r>
      <w:r>
        <w:rPr>
          <w:rFonts w:hint="eastAsia" w:asciiTheme="minorEastAsia" w:hAnsiTheme="minorEastAsia"/>
          <w:color w:val="auto"/>
          <w:sz w:val="28"/>
          <w:szCs w:val="28"/>
        </w:rPr>
        <w:t>3</w:t>
      </w:r>
      <w:r>
        <w:rPr>
          <w:rFonts w:asciiTheme="minorEastAsia" w:hAnsiTheme="minorEastAsia"/>
          <w:color w:val="auto"/>
          <w:sz w:val="28"/>
          <w:szCs w:val="28"/>
        </w:rPr>
        <w:t>本合同对</w:t>
      </w:r>
      <w:r>
        <w:rPr>
          <w:rFonts w:hint="eastAsia" w:asciiTheme="minorEastAsia" w:hAnsiTheme="minorEastAsia"/>
          <w:color w:val="auto"/>
          <w:sz w:val="28"/>
          <w:szCs w:val="28"/>
        </w:rPr>
        <w:t>任一方</w:t>
      </w:r>
      <w:r>
        <w:rPr>
          <w:rFonts w:asciiTheme="minorEastAsia" w:hAnsiTheme="minorEastAsia"/>
          <w:color w:val="auto"/>
          <w:sz w:val="28"/>
          <w:szCs w:val="28"/>
        </w:rPr>
        <w:t>的合法承继者或受让人具有约束力。但</w:t>
      </w:r>
      <w:r>
        <w:rPr>
          <w:rFonts w:hint="eastAsia" w:asciiTheme="minorEastAsia" w:hAnsiTheme="minorEastAsia"/>
          <w:color w:val="auto"/>
          <w:sz w:val="28"/>
          <w:szCs w:val="28"/>
        </w:rPr>
        <w:t>国家及广西电力市场有关政策、交易规则以及政策制度文件另有规定或本合同</w:t>
      </w:r>
      <w:r>
        <w:rPr>
          <w:rFonts w:asciiTheme="minorEastAsia" w:hAnsiTheme="minorEastAsia"/>
          <w:color w:val="auto"/>
          <w:sz w:val="28"/>
          <w:szCs w:val="28"/>
        </w:rPr>
        <w:t>当事人另有约定的除外。</w:t>
      </w:r>
    </w:p>
    <w:p>
      <w:pPr>
        <w:rPr>
          <w:rFonts w:asciiTheme="minorEastAsia" w:hAnsiTheme="minorEastAsia"/>
          <w:color w:val="auto"/>
          <w:sz w:val="28"/>
          <w:szCs w:val="28"/>
        </w:rPr>
      </w:pPr>
      <w:r>
        <w:rPr>
          <w:rFonts w:asciiTheme="minorEastAsia" w:hAnsiTheme="minorEastAsia"/>
          <w:color w:val="auto"/>
          <w:sz w:val="28"/>
          <w:szCs w:val="28"/>
        </w:rPr>
        <w:t>　　遇有本款约定的情形时，相关义务人应当依法履行必要的通知义务及完备的法律手续。</w:t>
      </w:r>
    </w:p>
    <w:p>
      <w:pPr>
        <w:rPr>
          <w:rFonts w:asciiTheme="minorEastAsia" w:hAnsiTheme="minorEastAsia"/>
          <w:color w:val="auto"/>
          <w:sz w:val="28"/>
          <w:szCs w:val="28"/>
        </w:rPr>
      </w:pPr>
      <w:r>
        <w:rPr>
          <w:rFonts w:asciiTheme="minorEastAsia" w:hAnsiTheme="minorEastAsia"/>
          <w:color w:val="auto"/>
          <w:sz w:val="28"/>
          <w:szCs w:val="28"/>
        </w:rPr>
        <w:t>　　1.2.</w:t>
      </w:r>
      <w:r>
        <w:rPr>
          <w:rFonts w:hint="eastAsia" w:asciiTheme="minorEastAsia" w:hAnsiTheme="minorEastAsia"/>
          <w:color w:val="auto"/>
          <w:sz w:val="28"/>
          <w:szCs w:val="28"/>
        </w:rPr>
        <w:t>4</w:t>
      </w:r>
      <w:r>
        <w:rPr>
          <w:rFonts w:asciiTheme="minorEastAsia" w:hAnsiTheme="minorEastAsia"/>
          <w:color w:val="auto"/>
          <w:sz w:val="28"/>
          <w:szCs w:val="28"/>
        </w:rPr>
        <w:t>除上下文另有要求外，本合同所指日、月、年均为公历日、月、年。</w:t>
      </w:r>
    </w:p>
    <w:p>
      <w:pPr>
        <w:rPr>
          <w:rFonts w:asciiTheme="minorEastAsia" w:hAnsiTheme="minorEastAsia"/>
          <w:color w:val="auto"/>
          <w:sz w:val="28"/>
          <w:szCs w:val="28"/>
        </w:rPr>
      </w:pPr>
      <w:r>
        <w:rPr>
          <w:rFonts w:asciiTheme="minorEastAsia" w:hAnsiTheme="minorEastAsia"/>
          <w:color w:val="auto"/>
          <w:sz w:val="28"/>
          <w:szCs w:val="28"/>
        </w:rPr>
        <w:t>　　1.2.</w:t>
      </w:r>
      <w:r>
        <w:rPr>
          <w:rFonts w:hint="eastAsia" w:asciiTheme="minorEastAsia" w:hAnsiTheme="minorEastAsia"/>
          <w:color w:val="auto"/>
          <w:sz w:val="28"/>
          <w:szCs w:val="28"/>
        </w:rPr>
        <w:t>5</w:t>
      </w:r>
      <w:r>
        <w:rPr>
          <w:rFonts w:asciiTheme="minorEastAsia" w:hAnsiTheme="minorEastAsia"/>
          <w:color w:val="auto"/>
          <w:sz w:val="28"/>
          <w:szCs w:val="28"/>
        </w:rPr>
        <w:t>合同中的“包括”一词指：包括但不限于。</w:t>
      </w:r>
    </w:p>
    <w:p>
      <w:pPr>
        <w:pStyle w:val="17"/>
        <w:spacing w:beforeLines="50" w:beforeAutospacing="0" w:afterLines="50" w:afterAutospacing="0"/>
        <w:ind w:left="0" w:leftChars="0"/>
        <w:jc w:val="center"/>
        <w:outlineLvl w:val="0"/>
        <w:rPr>
          <w:rFonts w:ascii="黑体" w:hAnsi="黑体" w:eastAsia="黑体" w:cs="黑体"/>
          <w:color w:val="auto"/>
          <w:sz w:val="30"/>
          <w:szCs w:val="30"/>
        </w:rPr>
      </w:pPr>
      <w:bookmarkStart w:id="27" w:name="_Toc32217"/>
      <w:bookmarkStart w:id="28" w:name="_Toc4667"/>
      <w:bookmarkStart w:id="29" w:name="_Toc16308"/>
      <w:bookmarkStart w:id="30" w:name="_Toc18406_WPSOffice_Level1"/>
      <w:bookmarkStart w:id="31" w:name="_Toc19762"/>
      <w:r>
        <w:rPr>
          <w:rFonts w:hint="eastAsia" w:ascii="黑体" w:hAnsi="黑体" w:eastAsia="黑体" w:cs="黑体"/>
          <w:color w:val="auto"/>
          <w:sz w:val="30"/>
          <w:szCs w:val="30"/>
        </w:rPr>
        <w:t>第2章　双方</w:t>
      </w:r>
      <w:bookmarkEnd w:id="3"/>
      <w:bookmarkEnd w:id="4"/>
      <w:bookmarkEnd w:id="27"/>
      <w:bookmarkEnd w:id="28"/>
      <w:bookmarkEnd w:id="29"/>
      <w:bookmarkEnd w:id="30"/>
      <w:r>
        <w:rPr>
          <w:rFonts w:hint="eastAsia" w:ascii="黑体" w:hAnsi="黑体" w:eastAsia="黑体" w:cs="黑体"/>
          <w:color w:val="auto"/>
          <w:sz w:val="30"/>
          <w:szCs w:val="30"/>
        </w:rPr>
        <w:t>陈述</w:t>
      </w:r>
      <w:bookmarkEnd w:id="31"/>
    </w:p>
    <w:p>
      <w:pPr>
        <w:ind w:firstLine="560" w:firstLineChars="200"/>
        <w:rPr>
          <w:rFonts w:asciiTheme="minorEastAsia" w:hAnsiTheme="minorEastAsia"/>
          <w:color w:val="auto"/>
          <w:sz w:val="28"/>
          <w:szCs w:val="28"/>
        </w:rPr>
      </w:pPr>
      <w:bookmarkStart w:id="32" w:name="_Toc17598"/>
      <w:bookmarkStart w:id="33" w:name="_Toc32342"/>
      <w:bookmarkStart w:id="34" w:name="_Toc12350"/>
      <w:bookmarkStart w:id="35" w:name="_Toc5373"/>
      <w:r>
        <w:rPr>
          <w:rFonts w:hint="eastAsia" w:asciiTheme="minorEastAsia" w:hAnsiTheme="minorEastAsia"/>
          <w:color w:val="auto"/>
          <w:sz w:val="28"/>
          <w:szCs w:val="28"/>
        </w:rPr>
        <w:t>2.1任一方在此向对方陈述如下：</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2.1.1本方为一家依法设立并合法存续的企业，已在电力交易中心完成注册，具备电力市场化交易的资格，有权签署并有能力履行本合同。</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2.1.2本方签署和履行本合同所需的一切手续（包括办理必要的行政许可、取得市场准入条件、营业执照等）均已办妥并合法有效。</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2.1.3在签署本合同时，任何法院、仲裁机构、行政机关或监管机构均未做出任何足以对本方履行本合同产生重大不利影响的判决、裁定、裁决、行政处罚或具体行政行为，以及信用不良记录。</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2.2本方为签署本合同所需的内部授权程序均已完成。本合同生效后即对双方具有法律约束力。</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2.3双方均已熟悉广西电力市场有关交易规则和管理制度、年度交易实施方案以及交易公告等，在签订本合同前，均已详细阅读并充分理解本合同的所有条款，认同电力交易中心发布的正式交易结果，愿意承担电力市场化交易可能存在的风险和后果。</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2.4双方一致同意本合同按照政府主管部门以及电力交易中心印发的市场化交易相关规则、方案以及现行有效的管理办法规定开展电力零售交易。</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2.5如国家法律、法规发生变化或者政府有关部门、监管机构出台有关规定、规则，合同双方同意按照法律、法规、规定和规则予以调整和修改。</w:t>
      </w:r>
    </w:p>
    <w:p>
      <w:pPr>
        <w:pStyle w:val="17"/>
        <w:spacing w:beforeLines="50" w:beforeAutospacing="0" w:afterLines="50" w:afterAutospacing="0"/>
        <w:ind w:left="0" w:leftChars="0"/>
        <w:jc w:val="center"/>
        <w:outlineLvl w:val="0"/>
        <w:rPr>
          <w:rFonts w:ascii="黑体" w:hAnsi="黑体" w:eastAsia="黑体" w:cs="黑体"/>
          <w:color w:val="auto"/>
          <w:sz w:val="30"/>
          <w:szCs w:val="30"/>
        </w:rPr>
      </w:pPr>
      <w:bookmarkStart w:id="36" w:name="_Toc3645_WPSOffice_Level1"/>
      <w:bookmarkStart w:id="37" w:name="_Toc28541"/>
      <w:bookmarkStart w:id="38" w:name="_Toc29598"/>
      <w:r>
        <w:rPr>
          <w:rFonts w:hint="eastAsia" w:ascii="黑体" w:hAnsi="黑体" w:eastAsia="黑体" w:cs="黑体"/>
          <w:color w:val="auto"/>
          <w:sz w:val="30"/>
          <w:szCs w:val="30"/>
        </w:rPr>
        <w:t>第3章　双方的权利和义务</w:t>
      </w:r>
      <w:bookmarkEnd w:id="32"/>
      <w:bookmarkEnd w:id="33"/>
      <w:bookmarkEnd w:id="34"/>
      <w:bookmarkEnd w:id="35"/>
      <w:bookmarkEnd w:id="36"/>
      <w:bookmarkEnd w:id="37"/>
      <w:bookmarkEnd w:id="38"/>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3.1甲方的权利和义务</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3.1.1服从电力市场交易规则、年度交易实施方案及电力交易中心相关规定。</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3.1.2获得乙方履行本合同义务相关的工作计划信息、资料及查阅电能量计量数据。</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3.1.3向乙方如实、完整提供电力交易基数电量、用电需求及其他生产运行等用电信息。</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3.1.4在规定时间内对用网电量、电力交易中心提供的结算数据、考核结算数据进行确认及反馈。</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3.1.5保证在</w:t>
      </w:r>
      <w:r>
        <w:rPr>
          <w:rFonts w:hint="eastAsia" w:asciiTheme="minorEastAsia" w:hAnsiTheme="minorEastAsia"/>
          <w:color w:val="auto"/>
          <w:sz w:val="28"/>
          <w:szCs w:val="28"/>
          <w:lang w:eastAsia="zh-CN"/>
        </w:rPr>
        <w:t>电力交易平台</w:t>
      </w:r>
      <w:r>
        <w:rPr>
          <w:rFonts w:hint="eastAsia" w:asciiTheme="minorEastAsia" w:hAnsiTheme="minorEastAsia"/>
          <w:color w:val="auto"/>
          <w:sz w:val="28"/>
          <w:szCs w:val="28"/>
        </w:rPr>
        <w:t>的用户档案信息准确、完备，相关权限和功能正常可用，向乙方提供与履行本合同相关的其他信息、资料；用户档案信息发生变化时，按规定向电力交易中心履行变更手续。</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3.1.6及时书面告知乙方、电力交易中心以及其他相关方本企业无法履行的本合同义务，并处理好相关事宜。</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3.1.7根据本合同约定承担法律后果，向乙方收取和支付违约金、损害赔偿金等。</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3.1.8应对乙方的相关数据和资料承担相关保密义务。</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3.1.9服从调度安排有序用电；发生紧急情况时，按照相关规定执行。</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3.1.10按相关规定和合同约定支付交易电费、输配电费、</w:t>
      </w:r>
      <w:r>
        <w:rPr>
          <w:rFonts w:hint="eastAsia" w:cs="Times New Roman" w:asciiTheme="minorEastAsia" w:hAnsiTheme="minorEastAsia" w:eastAsiaTheme="minorEastAsia"/>
          <w:sz w:val="28"/>
          <w:szCs w:val="28"/>
          <w:lang w:val="en-US" w:eastAsia="zh-CN"/>
        </w:rPr>
        <w:t>线损电费、</w:t>
      </w:r>
      <w:r>
        <w:rPr>
          <w:rFonts w:hint="eastAsia" w:asciiTheme="minorEastAsia" w:hAnsiTheme="minorEastAsia"/>
          <w:color w:val="auto"/>
          <w:sz w:val="28"/>
          <w:szCs w:val="28"/>
        </w:rPr>
        <w:t>政府性基金及附加等。退市时，应配合完成电量及费用清算。</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3.2 乙方的权利和义务</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3.2.1服从电力市场交易规则、年度交易实施方案及电力交易中心相关规定。</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3.2.2按照本合同约定</w:t>
      </w:r>
      <w:r>
        <w:rPr>
          <w:rFonts w:hint="eastAsia" w:asciiTheme="minorEastAsia" w:hAnsiTheme="minorEastAsia"/>
          <w:color w:val="auto"/>
          <w:sz w:val="28"/>
          <w:szCs w:val="28"/>
          <w:lang w:val="en-US" w:eastAsia="zh-CN"/>
        </w:rPr>
        <w:t>向</w:t>
      </w:r>
      <w:r>
        <w:rPr>
          <w:rFonts w:hint="eastAsia" w:asciiTheme="minorEastAsia" w:hAnsiTheme="minorEastAsia"/>
          <w:color w:val="auto"/>
          <w:sz w:val="28"/>
          <w:szCs w:val="28"/>
        </w:rPr>
        <w:t>甲方</w:t>
      </w:r>
      <w:r>
        <w:rPr>
          <w:rFonts w:hint="eastAsia" w:asciiTheme="minorEastAsia" w:hAnsiTheme="minorEastAsia"/>
          <w:color w:val="auto"/>
          <w:sz w:val="28"/>
          <w:szCs w:val="28"/>
          <w:lang w:val="en-US" w:eastAsia="zh-CN"/>
        </w:rPr>
        <w:t>销售</w:t>
      </w:r>
      <w:r>
        <w:rPr>
          <w:rFonts w:hint="eastAsia" w:asciiTheme="minorEastAsia" w:hAnsiTheme="minorEastAsia"/>
          <w:color w:val="auto"/>
          <w:sz w:val="28"/>
          <w:szCs w:val="28"/>
        </w:rPr>
        <w:t>所需的电量。</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3.2.3获得甲方履行本合同义务相关的信息、资料（包括生产计划和设备检修计划等）</w:t>
      </w:r>
      <w:r>
        <w:rPr>
          <w:rFonts w:hint="eastAsia" w:asciiTheme="minorEastAsia" w:hAnsiTheme="minorEastAsia"/>
          <w:color w:val="auto"/>
          <w:sz w:val="28"/>
          <w:szCs w:val="28"/>
          <w:lang w:eastAsia="zh-CN"/>
        </w:rPr>
        <w:t>，</w:t>
      </w:r>
      <w:r>
        <w:rPr>
          <w:rFonts w:hint="eastAsia" w:asciiTheme="minorEastAsia" w:hAnsiTheme="minorEastAsia"/>
          <w:color w:val="auto"/>
          <w:sz w:val="28"/>
          <w:szCs w:val="28"/>
        </w:rPr>
        <w:t>以及查询和下载甲方历史用电数据、本合同零售服务周期内的用电量等信息。向甲方提供与履行本合同的其他信息。</w:t>
      </w:r>
    </w:p>
    <w:p>
      <w:pPr>
        <w:pStyle w:val="17"/>
        <w:spacing w:before="0" w:beforeAutospacing="0" w:after="0" w:afterAutospacing="0"/>
        <w:ind w:left="0" w:leftChars="0" w:firstLine="560" w:firstLineChars="200"/>
        <w:rPr>
          <w:color w:val="auto"/>
        </w:rPr>
      </w:pPr>
      <w:r>
        <w:rPr>
          <w:rFonts w:hint="eastAsia" w:asciiTheme="minorEastAsia" w:hAnsiTheme="minorEastAsia"/>
          <w:color w:val="auto"/>
          <w:sz w:val="28"/>
          <w:szCs w:val="28"/>
        </w:rPr>
        <w:t>3.2.4配合提供甲方</w:t>
      </w:r>
      <w:r>
        <w:rPr>
          <w:rFonts w:hint="eastAsia" w:asciiTheme="minorEastAsia" w:hAnsiTheme="minorEastAsia"/>
          <w:color w:val="auto"/>
          <w:sz w:val="28"/>
          <w:szCs w:val="28"/>
          <w:lang w:val="en-US" w:eastAsia="zh-CN"/>
        </w:rPr>
        <w:t>的</w:t>
      </w:r>
      <w:r>
        <w:rPr>
          <w:rFonts w:hint="eastAsia" w:asciiTheme="minorEastAsia" w:hAnsiTheme="minorEastAsia"/>
          <w:color w:val="auto"/>
          <w:sz w:val="28"/>
          <w:szCs w:val="28"/>
        </w:rPr>
        <w:t>容量、电量、负荷曲线及其他生产运行信息，并对相关信息的真实性、准确性负责。</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3.2.5按照规则参与市场化交易，履行本合同约定的交易、服务、结算和收费等相关事宜。</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3.2.6在规定时间内对电力交易中心提供的结算数据进行确认及反馈。</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3.2.7及时书面告知甲方、电力交易中心以及其他相关方本企业无法履行的本合同义务，并处理好相关事宜。</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3.2.8根据本合同约定承担法律后果，向甲方收取和支付违约金、损害赔偿金等。</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3.2.9应对甲方的相关数据和资料承担相关保密义务。</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3.2.10发生紧急情况时，按照相关规定执行。</w:t>
      </w:r>
    </w:p>
    <w:p>
      <w:pPr>
        <w:pStyle w:val="17"/>
        <w:spacing w:beforeLines="50" w:beforeAutospacing="0" w:afterLines="50" w:afterAutospacing="0"/>
        <w:ind w:left="0" w:leftChars="0"/>
        <w:jc w:val="center"/>
        <w:outlineLvl w:val="0"/>
        <w:rPr>
          <w:rFonts w:ascii="黑体" w:hAnsi="黑体" w:eastAsia="黑体" w:cs="黑体"/>
          <w:color w:val="auto"/>
          <w:sz w:val="30"/>
          <w:szCs w:val="30"/>
        </w:rPr>
      </w:pPr>
      <w:bookmarkStart w:id="39" w:name="_Toc11486"/>
      <w:bookmarkStart w:id="40" w:name="_Toc21265_WPSOffice_Level1"/>
      <w:bookmarkStart w:id="41" w:name="_Toc31597"/>
      <w:bookmarkStart w:id="42" w:name="_Toc14357"/>
      <w:bookmarkStart w:id="43" w:name="_Toc3018"/>
      <w:bookmarkStart w:id="44" w:name="_Toc28862"/>
      <w:bookmarkStart w:id="45" w:name="_Toc19528"/>
      <w:bookmarkStart w:id="46" w:name="_Toc4225"/>
      <w:bookmarkStart w:id="47" w:name="_Toc21270"/>
      <w:r>
        <w:rPr>
          <w:rFonts w:hint="eastAsia" w:ascii="黑体" w:hAnsi="黑体" w:eastAsia="黑体" w:cs="黑体"/>
          <w:color w:val="auto"/>
          <w:sz w:val="30"/>
          <w:szCs w:val="30"/>
        </w:rPr>
        <w:t>第4章　结算事宜</w:t>
      </w:r>
      <w:bookmarkEnd w:id="39"/>
      <w:bookmarkEnd w:id="40"/>
      <w:bookmarkEnd w:id="41"/>
      <w:bookmarkEnd w:id="42"/>
      <w:bookmarkEnd w:id="43"/>
      <w:bookmarkEnd w:id="44"/>
      <w:bookmarkEnd w:id="45"/>
      <w:bookmarkEnd w:id="46"/>
      <w:bookmarkEnd w:id="47"/>
    </w:p>
    <w:p>
      <w:pPr>
        <w:spacing w:line="240" w:lineRule="auto"/>
        <w:ind w:firstLine="562" w:firstLineChars="200"/>
        <w:outlineLvl w:val="9"/>
        <w:rPr>
          <w:rFonts w:hint="eastAsia" w:asciiTheme="minorEastAsia" w:hAnsiTheme="minorEastAsia"/>
          <w:color w:val="auto"/>
          <w:sz w:val="28"/>
          <w:szCs w:val="28"/>
        </w:rPr>
      </w:pPr>
      <w:bookmarkStart w:id="48" w:name="_Toc23154"/>
      <w:bookmarkStart w:id="49" w:name="_Toc19038"/>
      <w:r>
        <w:rPr>
          <w:rFonts w:hint="eastAsia" w:asciiTheme="minorEastAsia" w:hAnsiTheme="minorEastAsia" w:eastAsiaTheme="minorEastAsia"/>
          <w:b/>
          <w:bCs/>
          <w:color w:val="auto"/>
          <w:sz w:val="28"/>
          <w:szCs w:val="28"/>
          <w:highlight w:val="none"/>
          <w:lang w:val="en-US" w:eastAsia="zh-CN"/>
        </w:rPr>
        <w:t>双方</w:t>
      </w:r>
      <w:r>
        <w:rPr>
          <w:rFonts w:hint="eastAsia" w:asciiTheme="minorEastAsia" w:hAnsiTheme="minorEastAsia"/>
          <w:b/>
          <w:bCs/>
          <w:color w:val="auto"/>
          <w:sz w:val="28"/>
          <w:szCs w:val="28"/>
          <w:highlight w:val="none"/>
          <w:lang w:val="en-US" w:eastAsia="zh-CN"/>
        </w:rPr>
        <w:t>同意本合同未涉及的月份，以双方在电力交易平台中有效合同备案信息为准。</w:t>
      </w:r>
    </w:p>
    <w:p>
      <w:pPr>
        <w:spacing w:line="600" w:lineRule="exact"/>
        <w:ind w:firstLine="641"/>
        <w:rPr>
          <w:rFonts w:asciiTheme="minorEastAsia" w:hAnsiTheme="minorEastAsia"/>
          <w:color w:val="auto"/>
          <w:sz w:val="28"/>
          <w:szCs w:val="28"/>
        </w:rPr>
      </w:pPr>
      <w:r>
        <w:rPr>
          <w:rFonts w:hint="eastAsia" w:asciiTheme="minorEastAsia" w:hAnsiTheme="minorEastAsia"/>
          <w:color w:val="auto"/>
          <w:sz w:val="28"/>
          <w:szCs w:val="28"/>
        </w:rPr>
        <w:t>4.1甲乙双方一致同意：</w:t>
      </w:r>
      <w:r>
        <w:rPr>
          <w:rFonts w:hint="eastAsia" w:asciiTheme="minorEastAsia" w:hAnsiTheme="minorEastAsia"/>
          <w:color w:val="auto"/>
          <w:sz w:val="28"/>
          <w:szCs w:val="28"/>
          <w:lang w:val="en-US" w:eastAsia="zh-CN"/>
        </w:rPr>
        <w:t>授权</w:t>
      </w:r>
      <w:r>
        <w:rPr>
          <w:rFonts w:hint="eastAsia" w:asciiTheme="minorEastAsia" w:hAnsiTheme="minorEastAsia"/>
          <w:color w:val="auto"/>
          <w:sz w:val="28"/>
          <w:szCs w:val="28"/>
        </w:rPr>
        <w:t>电力交易中心根据广西电力</w:t>
      </w:r>
      <w:r>
        <w:rPr>
          <w:rFonts w:hint="eastAsia" w:asciiTheme="minorEastAsia" w:hAnsiTheme="minorEastAsia"/>
          <w:color w:val="auto"/>
          <w:sz w:val="28"/>
          <w:szCs w:val="28"/>
          <w:lang w:val="en-US" w:eastAsia="zh-CN"/>
        </w:rPr>
        <w:t>市场</w:t>
      </w:r>
      <w:r>
        <w:rPr>
          <w:rFonts w:hint="eastAsia" w:asciiTheme="minorEastAsia" w:hAnsiTheme="minorEastAsia"/>
          <w:color w:val="auto"/>
          <w:sz w:val="28"/>
          <w:szCs w:val="28"/>
        </w:rPr>
        <w:t>零售结算管理办法</w:t>
      </w:r>
      <w:r>
        <w:rPr>
          <w:rFonts w:hint="eastAsia" w:asciiTheme="minorEastAsia" w:hAnsiTheme="minorEastAsia"/>
          <w:color w:val="auto"/>
          <w:sz w:val="28"/>
          <w:szCs w:val="28"/>
          <w:lang w:val="en-US" w:eastAsia="zh-CN"/>
        </w:rPr>
        <w:t>对</w:t>
      </w:r>
      <w:r>
        <w:rPr>
          <w:rFonts w:hint="eastAsia" w:asciiTheme="minorEastAsia" w:hAnsiTheme="minorEastAsia"/>
          <w:color w:val="auto"/>
          <w:sz w:val="28"/>
          <w:szCs w:val="28"/>
        </w:rPr>
        <w:t>双方在</w:t>
      </w:r>
      <w:r>
        <w:rPr>
          <w:rFonts w:hint="eastAsia" w:asciiTheme="minorEastAsia" w:hAnsiTheme="minorEastAsia"/>
          <w:color w:val="auto"/>
          <w:sz w:val="28"/>
          <w:szCs w:val="28"/>
          <w:lang w:eastAsia="zh-CN"/>
        </w:rPr>
        <w:t>电力交易平台</w:t>
      </w:r>
      <w:r>
        <w:rPr>
          <w:rFonts w:hint="eastAsia" w:asciiTheme="minorEastAsia" w:hAnsiTheme="minorEastAsia"/>
          <w:color w:val="auto"/>
          <w:sz w:val="28"/>
          <w:szCs w:val="28"/>
        </w:rPr>
        <w:t>上签订的零售</w:t>
      </w:r>
      <w:r>
        <w:rPr>
          <w:rFonts w:hint="eastAsia" w:asciiTheme="minorEastAsia" w:hAnsiTheme="minorEastAsia"/>
          <w:color w:val="auto"/>
          <w:sz w:val="28"/>
          <w:szCs w:val="28"/>
          <w:lang w:val="en-US" w:eastAsia="zh-CN"/>
        </w:rPr>
        <w:t>服务</w:t>
      </w:r>
      <w:r>
        <w:rPr>
          <w:rFonts w:hint="eastAsia" w:asciiTheme="minorEastAsia" w:hAnsiTheme="minorEastAsia"/>
          <w:color w:val="auto"/>
          <w:sz w:val="28"/>
          <w:szCs w:val="28"/>
        </w:rPr>
        <w:t>合同开展零售结算。</w:t>
      </w:r>
    </w:p>
    <w:p>
      <w:pPr>
        <w:spacing w:line="600" w:lineRule="exact"/>
        <w:ind w:firstLine="641"/>
        <w:rPr>
          <w:rFonts w:hint="eastAsia" w:asciiTheme="minorEastAsia" w:hAnsiTheme="minorEastAsia"/>
          <w:color w:val="auto"/>
          <w:sz w:val="28"/>
          <w:szCs w:val="28"/>
        </w:rPr>
      </w:pPr>
      <w:r>
        <w:rPr>
          <w:rFonts w:hint="eastAsia" w:asciiTheme="minorEastAsia" w:hAnsiTheme="minorEastAsia"/>
          <w:color w:val="auto"/>
          <w:sz w:val="28"/>
          <w:szCs w:val="28"/>
        </w:rPr>
        <w:t>4.2</w:t>
      </w:r>
      <w:r>
        <w:rPr>
          <w:rFonts w:hint="eastAsia" w:asciiTheme="minorEastAsia" w:hAnsiTheme="minorEastAsia"/>
          <w:color w:val="auto"/>
          <w:sz w:val="28"/>
          <w:szCs w:val="28"/>
          <w:lang w:val="en-US" w:eastAsia="zh-CN"/>
        </w:rPr>
        <w:t>本合同</w:t>
      </w:r>
      <w:r>
        <w:rPr>
          <w:rFonts w:hint="eastAsia" w:asciiTheme="minorEastAsia" w:hAnsiTheme="minorEastAsia"/>
          <w:color w:val="auto"/>
          <w:sz w:val="28"/>
          <w:szCs w:val="28"/>
        </w:rPr>
        <w:t>所称价格，如无特殊说明，涉及批发市场价格的，是指各时段交易电量加权平均价。如涉及零售用户价格的，是指平段价格，电力用户的(尖)峰、谷段价格根据政府相关文件明确的价格机制在平段价格基础上形成。开展现货全月结算试运行后，电力用户的(尖)峰、谷段价格根据与售电公司签订的零售服务合同（含峰谷价差电费套餐）和政府相关文件明确的价格机制在平段价格基础上形成。</w:t>
      </w:r>
    </w:p>
    <w:p>
      <w:pPr>
        <w:spacing w:line="600" w:lineRule="exact"/>
        <w:ind w:firstLine="641"/>
        <w:rPr>
          <w:rFonts w:asciiTheme="minorEastAsia" w:hAnsiTheme="minorEastAsia"/>
          <w:color w:val="auto"/>
          <w:sz w:val="28"/>
          <w:szCs w:val="28"/>
        </w:rPr>
      </w:pPr>
      <w:r>
        <w:rPr>
          <w:rFonts w:hint="eastAsia" w:asciiTheme="minorEastAsia" w:hAnsiTheme="minorEastAsia"/>
          <w:color w:val="auto"/>
          <w:sz w:val="28"/>
          <w:szCs w:val="28"/>
          <w:lang w:val="en-US" w:eastAsia="zh-CN"/>
        </w:rPr>
        <w:t>4.3</w:t>
      </w:r>
      <w:r>
        <w:rPr>
          <w:rFonts w:hint="eastAsia" w:asciiTheme="minorEastAsia" w:hAnsiTheme="minorEastAsia"/>
          <w:color w:val="auto"/>
          <w:sz w:val="28"/>
          <w:szCs w:val="28"/>
        </w:rPr>
        <w:t>本合同所指的价格均含税。若国家税率调整，本合同含税电价保持不变。</w:t>
      </w:r>
    </w:p>
    <w:p>
      <w:pPr>
        <w:ind w:firstLine="570"/>
        <w:rPr>
          <w:rFonts w:hint="default" w:asciiTheme="minorEastAsia" w:hAnsiTheme="minorEastAsia" w:eastAsiaTheme="minorEastAsia" w:cstheme="minorEastAsia"/>
          <w:b w:val="0"/>
          <w:bCs/>
          <w:color w:val="auto"/>
          <w:sz w:val="28"/>
          <w:szCs w:val="28"/>
          <w:lang w:val="en-US" w:eastAsia="zh-CN"/>
        </w:rPr>
      </w:pPr>
      <w:r>
        <w:rPr>
          <w:rFonts w:hint="eastAsia" w:asciiTheme="minorEastAsia" w:hAnsiTheme="minorEastAsia" w:cstheme="minorEastAsia"/>
          <w:b w:val="0"/>
          <w:bCs/>
          <w:color w:val="auto"/>
          <w:sz w:val="28"/>
          <w:szCs w:val="28"/>
          <w:lang w:val="en-US" w:eastAsia="zh-CN"/>
        </w:rPr>
        <w:t>4.4 本合同是对合同编号为</w:t>
      </w:r>
      <w:r>
        <w:rPr>
          <w:rFonts w:hint="eastAsia" w:asciiTheme="minorEastAsia" w:hAnsiTheme="minorEastAsia" w:cstheme="minorEastAsia"/>
          <w:b w:val="0"/>
          <w:bCs/>
          <w:color w:val="auto"/>
          <w:sz w:val="28"/>
          <w:szCs w:val="28"/>
          <w:u w:val="single"/>
          <w:lang w:val="en-US" w:eastAsia="zh-CN"/>
        </w:rPr>
        <w:t xml:space="preserve">           </w:t>
      </w:r>
      <w:r>
        <w:rPr>
          <w:rFonts w:hint="eastAsia" w:asciiTheme="minorEastAsia" w:hAnsiTheme="minorEastAsia" w:cstheme="minorEastAsia"/>
          <w:b w:val="0"/>
          <w:bCs/>
          <w:color w:val="auto"/>
          <w:sz w:val="28"/>
          <w:szCs w:val="28"/>
          <w:lang w:val="en-US" w:eastAsia="zh-CN"/>
        </w:rPr>
        <w:t>的合同进行变更，甲乙双方同意变更后的合同电量及市场电费约定如下：</w:t>
      </w:r>
    </w:p>
    <w:p>
      <w:pPr>
        <w:ind w:firstLine="570"/>
        <w:rPr>
          <w:rFonts w:asciiTheme="minorEastAsia" w:hAnsiTheme="minorEastAsia" w:cstheme="minorEastAsia"/>
          <w:bCs/>
          <w:color w:val="auto"/>
          <w:sz w:val="28"/>
          <w:szCs w:val="28"/>
        </w:rPr>
      </w:pPr>
      <w:r>
        <w:rPr>
          <w:rFonts w:hint="eastAsia" w:asciiTheme="minorEastAsia" w:hAnsiTheme="minorEastAsia" w:cstheme="minorEastAsia"/>
          <w:b/>
          <w:color w:val="auto"/>
          <w:sz w:val="28"/>
          <w:szCs w:val="28"/>
        </w:rPr>
        <w:t>（一）合同电量</w:t>
      </w:r>
    </w:p>
    <w:p>
      <w:pPr>
        <w:ind w:firstLine="570"/>
        <w:rPr>
          <w:rFonts w:asciiTheme="minorEastAsia" w:hAnsiTheme="minorEastAsia" w:cstheme="minorEastAsia"/>
          <w:bCs/>
          <w:color w:val="auto"/>
          <w:sz w:val="28"/>
          <w:szCs w:val="28"/>
        </w:rPr>
      </w:pPr>
      <w:r>
        <w:rPr>
          <w:rFonts w:hint="eastAsia" w:asciiTheme="minorEastAsia" w:hAnsiTheme="minorEastAsia" w:cstheme="minorEastAsia"/>
          <w:bCs/>
          <w:color w:val="auto"/>
          <w:sz w:val="28"/>
          <w:szCs w:val="28"/>
        </w:rPr>
        <w:t>双方约定，零售服务期限内甲方交易单元</w:t>
      </w:r>
      <w:r>
        <w:rPr>
          <w:rFonts w:hint="eastAsia" w:asciiTheme="minorEastAsia" w:hAnsiTheme="minorEastAsia" w:cstheme="minorEastAsia"/>
          <w:bCs/>
          <w:color w:val="auto"/>
          <w:sz w:val="28"/>
          <w:szCs w:val="28"/>
          <w:u w:val="single"/>
        </w:rPr>
        <w:t xml:space="preserve">       </w:t>
      </w:r>
      <w:r>
        <w:rPr>
          <w:rFonts w:hint="eastAsia" w:asciiTheme="minorEastAsia" w:hAnsiTheme="minorEastAsia" w:cstheme="minorEastAsia"/>
          <w:bCs/>
          <w:color w:val="auto"/>
          <w:sz w:val="28"/>
          <w:szCs w:val="28"/>
          <w:u w:val="none"/>
          <w:lang w:val="en-US" w:eastAsia="zh-CN"/>
        </w:rPr>
        <w:t>向乙方购买</w:t>
      </w:r>
      <w:r>
        <w:rPr>
          <w:rFonts w:hint="eastAsia" w:asciiTheme="minorEastAsia" w:hAnsiTheme="minorEastAsia" w:cstheme="minorEastAsia"/>
          <w:bCs/>
          <w:color w:val="auto"/>
          <w:sz w:val="28"/>
          <w:szCs w:val="28"/>
        </w:rPr>
        <w:t>合同电量</w:t>
      </w:r>
      <w:r>
        <w:rPr>
          <w:rFonts w:hint="eastAsia" w:asciiTheme="minorEastAsia" w:hAnsiTheme="minorEastAsia" w:cstheme="minorEastAsia"/>
          <w:bCs/>
          <w:color w:val="auto"/>
          <w:sz w:val="28"/>
          <w:szCs w:val="28"/>
          <w:u w:val="single"/>
        </w:rPr>
        <w:t xml:space="preserve">      </w:t>
      </w:r>
      <w:r>
        <w:rPr>
          <w:rFonts w:hint="eastAsia" w:asciiTheme="minorEastAsia" w:hAnsiTheme="minorEastAsia" w:cstheme="minorEastAsia"/>
          <w:bCs/>
          <w:color w:val="auto"/>
          <w:sz w:val="28"/>
          <w:szCs w:val="28"/>
        </w:rPr>
        <w:t>兆瓦时，初步分月计划如下：</w:t>
      </w:r>
    </w:p>
    <w:tbl>
      <w:tblPr>
        <w:tblStyle w:val="14"/>
        <w:tblpPr w:leftFromText="180" w:rightFromText="180" w:vertAnchor="text" w:horzAnchor="page" w:tblpX="910" w:tblpY="230"/>
        <w:tblOverlap w:val="never"/>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7"/>
        <w:gridCol w:w="1547"/>
        <w:gridCol w:w="1548"/>
        <w:gridCol w:w="1548"/>
        <w:gridCol w:w="1548"/>
        <w:gridCol w:w="15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pPr>
              <w:jc w:val="center"/>
              <w:rPr>
                <w:rFonts w:asciiTheme="minorEastAsia" w:hAnsiTheme="minorEastAsia" w:cstheme="minorEastAsia"/>
                <w:b/>
                <w:color w:val="auto"/>
                <w:sz w:val="18"/>
                <w:szCs w:val="18"/>
              </w:rPr>
            </w:pPr>
            <w:r>
              <w:rPr>
                <w:rFonts w:hint="eastAsia" w:asciiTheme="minorEastAsia" w:hAnsiTheme="minorEastAsia" w:cstheme="minorEastAsia"/>
                <w:b/>
                <w:color w:val="auto"/>
                <w:sz w:val="18"/>
                <w:szCs w:val="18"/>
              </w:rPr>
              <w:t>时间</w:t>
            </w:r>
          </w:p>
        </w:tc>
        <w:tc>
          <w:tcPr>
            <w:tcW w:w="1547" w:type="dxa"/>
          </w:tcPr>
          <w:p>
            <w:pPr>
              <w:jc w:val="center"/>
              <w:rPr>
                <w:rFonts w:asciiTheme="minorEastAsia" w:hAnsiTheme="minorEastAsia" w:cstheme="minorEastAsia"/>
                <w:b/>
                <w:color w:val="auto"/>
                <w:sz w:val="18"/>
                <w:szCs w:val="18"/>
              </w:rPr>
            </w:pPr>
            <w:r>
              <w:rPr>
                <w:rFonts w:hint="eastAsia" w:asciiTheme="minorEastAsia" w:hAnsiTheme="minorEastAsia" w:cstheme="minorEastAsia"/>
                <w:b/>
                <w:color w:val="auto"/>
                <w:sz w:val="18"/>
                <w:szCs w:val="18"/>
              </w:rPr>
              <w:t>电量（兆瓦时）</w:t>
            </w:r>
          </w:p>
        </w:tc>
        <w:tc>
          <w:tcPr>
            <w:tcW w:w="1548" w:type="dxa"/>
          </w:tcPr>
          <w:p>
            <w:pPr>
              <w:jc w:val="center"/>
              <w:rPr>
                <w:rFonts w:asciiTheme="minorEastAsia" w:hAnsiTheme="minorEastAsia" w:cstheme="minorEastAsia"/>
                <w:b/>
                <w:color w:val="auto"/>
                <w:sz w:val="18"/>
                <w:szCs w:val="18"/>
              </w:rPr>
            </w:pPr>
            <w:r>
              <w:rPr>
                <w:rFonts w:hint="eastAsia" w:asciiTheme="minorEastAsia" w:hAnsiTheme="minorEastAsia" w:cstheme="minorEastAsia"/>
                <w:b/>
                <w:color w:val="auto"/>
                <w:sz w:val="18"/>
                <w:szCs w:val="18"/>
              </w:rPr>
              <w:t>时间</w:t>
            </w:r>
          </w:p>
        </w:tc>
        <w:tc>
          <w:tcPr>
            <w:tcW w:w="1548" w:type="dxa"/>
          </w:tcPr>
          <w:p>
            <w:pPr>
              <w:jc w:val="center"/>
              <w:rPr>
                <w:rFonts w:asciiTheme="minorEastAsia" w:hAnsiTheme="minorEastAsia" w:cstheme="minorEastAsia"/>
                <w:b/>
                <w:color w:val="auto"/>
                <w:sz w:val="18"/>
                <w:szCs w:val="18"/>
              </w:rPr>
            </w:pPr>
            <w:r>
              <w:rPr>
                <w:rFonts w:hint="eastAsia" w:asciiTheme="minorEastAsia" w:hAnsiTheme="minorEastAsia" w:cstheme="minorEastAsia"/>
                <w:b/>
                <w:color w:val="auto"/>
                <w:sz w:val="18"/>
                <w:szCs w:val="18"/>
              </w:rPr>
              <w:t>电量（兆瓦时）</w:t>
            </w:r>
          </w:p>
        </w:tc>
        <w:tc>
          <w:tcPr>
            <w:tcW w:w="1548" w:type="dxa"/>
          </w:tcPr>
          <w:p>
            <w:pPr>
              <w:jc w:val="center"/>
              <w:rPr>
                <w:rFonts w:asciiTheme="minorEastAsia" w:hAnsiTheme="minorEastAsia" w:cstheme="minorEastAsia"/>
                <w:b/>
                <w:color w:val="auto"/>
                <w:sz w:val="18"/>
                <w:szCs w:val="18"/>
              </w:rPr>
            </w:pPr>
            <w:r>
              <w:rPr>
                <w:rFonts w:hint="eastAsia" w:asciiTheme="minorEastAsia" w:hAnsiTheme="minorEastAsia" w:cstheme="minorEastAsia"/>
                <w:b/>
                <w:color w:val="auto"/>
                <w:sz w:val="18"/>
                <w:szCs w:val="18"/>
              </w:rPr>
              <w:t>时间</w:t>
            </w:r>
          </w:p>
        </w:tc>
        <w:tc>
          <w:tcPr>
            <w:tcW w:w="1548" w:type="dxa"/>
          </w:tcPr>
          <w:p>
            <w:pPr>
              <w:jc w:val="center"/>
              <w:rPr>
                <w:rFonts w:asciiTheme="minorEastAsia" w:hAnsiTheme="minorEastAsia" w:cstheme="minorEastAsia"/>
                <w:b/>
                <w:color w:val="auto"/>
                <w:sz w:val="18"/>
                <w:szCs w:val="18"/>
              </w:rPr>
            </w:pPr>
            <w:r>
              <w:rPr>
                <w:rFonts w:hint="eastAsia" w:asciiTheme="minorEastAsia" w:hAnsiTheme="minorEastAsia" w:cstheme="minorEastAsia"/>
                <w:b/>
                <w:color w:val="auto"/>
                <w:sz w:val="18"/>
                <w:szCs w:val="18"/>
              </w:rPr>
              <w:t>电量（兆瓦时）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547" w:type="dxa"/>
          </w:tcPr>
          <w:p>
            <w:pPr>
              <w:jc w:val="center"/>
              <w:rPr>
                <w:rFonts w:asciiTheme="minorEastAsia" w:hAnsiTheme="minorEastAsia" w:cstheme="minorEastAsia"/>
                <w:bCs/>
                <w:color w:val="auto"/>
                <w:szCs w:val="21"/>
              </w:rPr>
            </w:pPr>
            <w:r>
              <w:rPr>
                <w:rFonts w:hint="eastAsia" w:asciiTheme="minorEastAsia" w:hAnsiTheme="minorEastAsia" w:cstheme="minorEastAsia"/>
                <w:bCs/>
                <w:color w:val="auto"/>
                <w:szCs w:val="21"/>
              </w:rPr>
              <w:t>1月</w:t>
            </w:r>
          </w:p>
        </w:tc>
        <w:tc>
          <w:tcPr>
            <w:tcW w:w="1547" w:type="dxa"/>
          </w:tcPr>
          <w:p>
            <w:pPr>
              <w:jc w:val="center"/>
              <w:rPr>
                <w:rFonts w:asciiTheme="minorEastAsia" w:hAnsiTheme="minorEastAsia" w:cstheme="minorEastAsia"/>
                <w:bCs/>
                <w:color w:val="auto"/>
                <w:szCs w:val="21"/>
              </w:rPr>
            </w:pPr>
          </w:p>
        </w:tc>
        <w:tc>
          <w:tcPr>
            <w:tcW w:w="1548" w:type="dxa"/>
          </w:tcPr>
          <w:p>
            <w:pPr>
              <w:jc w:val="center"/>
              <w:rPr>
                <w:rFonts w:asciiTheme="minorEastAsia" w:hAnsiTheme="minorEastAsia" w:cstheme="minorEastAsia"/>
                <w:bCs/>
                <w:color w:val="auto"/>
                <w:szCs w:val="21"/>
              </w:rPr>
            </w:pPr>
            <w:r>
              <w:rPr>
                <w:rFonts w:hint="eastAsia" w:asciiTheme="minorEastAsia" w:hAnsiTheme="minorEastAsia" w:cstheme="minorEastAsia"/>
                <w:bCs/>
                <w:color w:val="auto"/>
                <w:szCs w:val="21"/>
              </w:rPr>
              <w:t>5月</w:t>
            </w:r>
          </w:p>
        </w:tc>
        <w:tc>
          <w:tcPr>
            <w:tcW w:w="1548" w:type="dxa"/>
          </w:tcPr>
          <w:p>
            <w:pPr>
              <w:jc w:val="center"/>
              <w:rPr>
                <w:rFonts w:asciiTheme="minorEastAsia" w:hAnsiTheme="minorEastAsia" w:cstheme="minorEastAsia"/>
                <w:bCs/>
                <w:color w:val="auto"/>
                <w:szCs w:val="21"/>
              </w:rPr>
            </w:pPr>
          </w:p>
        </w:tc>
        <w:tc>
          <w:tcPr>
            <w:tcW w:w="1548" w:type="dxa"/>
          </w:tcPr>
          <w:p>
            <w:pPr>
              <w:jc w:val="center"/>
              <w:rPr>
                <w:rFonts w:asciiTheme="minorEastAsia" w:hAnsiTheme="minorEastAsia" w:cstheme="minorEastAsia"/>
                <w:bCs/>
                <w:color w:val="auto"/>
                <w:szCs w:val="21"/>
              </w:rPr>
            </w:pPr>
            <w:r>
              <w:rPr>
                <w:rFonts w:hint="eastAsia" w:asciiTheme="minorEastAsia" w:hAnsiTheme="minorEastAsia" w:cstheme="minorEastAsia"/>
                <w:bCs/>
                <w:color w:val="auto"/>
                <w:szCs w:val="21"/>
              </w:rPr>
              <w:t>9月</w:t>
            </w:r>
          </w:p>
        </w:tc>
        <w:tc>
          <w:tcPr>
            <w:tcW w:w="1548" w:type="dxa"/>
          </w:tcPr>
          <w:p>
            <w:pPr>
              <w:jc w:val="center"/>
              <w:rPr>
                <w:rFonts w:asciiTheme="minorEastAsia" w:hAnsiTheme="minorEastAsia" w:cstheme="minorEastAsia"/>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547" w:type="dxa"/>
          </w:tcPr>
          <w:p>
            <w:pPr>
              <w:jc w:val="center"/>
              <w:rPr>
                <w:rFonts w:asciiTheme="minorEastAsia" w:hAnsiTheme="minorEastAsia" w:cstheme="minorEastAsia"/>
                <w:bCs/>
                <w:color w:val="auto"/>
                <w:szCs w:val="21"/>
              </w:rPr>
            </w:pPr>
            <w:r>
              <w:rPr>
                <w:rFonts w:hint="eastAsia" w:asciiTheme="minorEastAsia" w:hAnsiTheme="minorEastAsia" w:cstheme="minorEastAsia"/>
                <w:bCs/>
                <w:color w:val="auto"/>
                <w:szCs w:val="21"/>
              </w:rPr>
              <w:t>2月</w:t>
            </w:r>
          </w:p>
        </w:tc>
        <w:tc>
          <w:tcPr>
            <w:tcW w:w="1547" w:type="dxa"/>
          </w:tcPr>
          <w:p>
            <w:pPr>
              <w:jc w:val="center"/>
              <w:rPr>
                <w:rFonts w:asciiTheme="minorEastAsia" w:hAnsiTheme="minorEastAsia" w:cstheme="minorEastAsia"/>
                <w:bCs/>
                <w:color w:val="auto"/>
                <w:szCs w:val="21"/>
              </w:rPr>
            </w:pPr>
          </w:p>
        </w:tc>
        <w:tc>
          <w:tcPr>
            <w:tcW w:w="1548" w:type="dxa"/>
          </w:tcPr>
          <w:p>
            <w:pPr>
              <w:jc w:val="center"/>
              <w:rPr>
                <w:rFonts w:asciiTheme="minorEastAsia" w:hAnsiTheme="minorEastAsia" w:cstheme="minorEastAsia"/>
                <w:bCs/>
                <w:color w:val="auto"/>
                <w:szCs w:val="21"/>
              </w:rPr>
            </w:pPr>
            <w:r>
              <w:rPr>
                <w:rFonts w:hint="eastAsia" w:asciiTheme="minorEastAsia" w:hAnsiTheme="minorEastAsia" w:cstheme="minorEastAsia"/>
                <w:bCs/>
                <w:color w:val="auto"/>
                <w:szCs w:val="21"/>
              </w:rPr>
              <w:t>6月</w:t>
            </w:r>
          </w:p>
        </w:tc>
        <w:tc>
          <w:tcPr>
            <w:tcW w:w="1548" w:type="dxa"/>
          </w:tcPr>
          <w:p>
            <w:pPr>
              <w:jc w:val="center"/>
              <w:rPr>
                <w:rFonts w:asciiTheme="minorEastAsia" w:hAnsiTheme="minorEastAsia" w:cstheme="minorEastAsia"/>
                <w:bCs/>
                <w:color w:val="auto"/>
                <w:szCs w:val="21"/>
              </w:rPr>
            </w:pPr>
          </w:p>
        </w:tc>
        <w:tc>
          <w:tcPr>
            <w:tcW w:w="1548" w:type="dxa"/>
          </w:tcPr>
          <w:p>
            <w:pPr>
              <w:jc w:val="center"/>
              <w:rPr>
                <w:rFonts w:asciiTheme="minorEastAsia" w:hAnsiTheme="minorEastAsia" w:cstheme="minorEastAsia"/>
                <w:bCs/>
                <w:color w:val="auto"/>
                <w:szCs w:val="21"/>
              </w:rPr>
            </w:pPr>
            <w:r>
              <w:rPr>
                <w:rFonts w:hint="eastAsia" w:asciiTheme="minorEastAsia" w:hAnsiTheme="minorEastAsia" w:cstheme="minorEastAsia"/>
                <w:bCs/>
                <w:color w:val="auto"/>
                <w:szCs w:val="21"/>
              </w:rPr>
              <w:t>10月</w:t>
            </w:r>
          </w:p>
        </w:tc>
        <w:tc>
          <w:tcPr>
            <w:tcW w:w="1548" w:type="dxa"/>
          </w:tcPr>
          <w:p>
            <w:pPr>
              <w:jc w:val="center"/>
              <w:rPr>
                <w:rFonts w:asciiTheme="minorEastAsia" w:hAnsiTheme="minorEastAsia" w:cstheme="minorEastAsia"/>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547" w:type="dxa"/>
          </w:tcPr>
          <w:p>
            <w:pPr>
              <w:jc w:val="center"/>
              <w:rPr>
                <w:rFonts w:asciiTheme="minorEastAsia" w:hAnsiTheme="minorEastAsia" w:cstheme="minorEastAsia"/>
                <w:bCs/>
                <w:color w:val="auto"/>
                <w:szCs w:val="21"/>
              </w:rPr>
            </w:pPr>
            <w:r>
              <w:rPr>
                <w:rFonts w:hint="eastAsia" w:asciiTheme="minorEastAsia" w:hAnsiTheme="minorEastAsia" w:cstheme="minorEastAsia"/>
                <w:bCs/>
                <w:color w:val="auto"/>
                <w:szCs w:val="21"/>
              </w:rPr>
              <w:t>3月</w:t>
            </w:r>
          </w:p>
        </w:tc>
        <w:tc>
          <w:tcPr>
            <w:tcW w:w="1547" w:type="dxa"/>
          </w:tcPr>
          <w:p>
            <w:pPr>
              <w:jc w:val="center"/>
              <w:rPr>
                <w:rFonts w:asciiTheme="minorEastAsia" w:hAnsiTheme="minorEastAsia" w:cstheme="minorEastAsia"/>
                <w:bCs/>
                <w:color w:val="auto"/>
                <w:szCs w:val="21"/>
              </w:rPr>
            </w:pPr>
          </w:p>
        </w:tc>
        <w:tc>
          <w:tcPr>
            <w:tcW w:w="1548" w:type="dxa"/>
          </w:tcPr>
          <w:p>
            <w:pPr>
              <w:jc w:val="center"/>
              <w:rPr>
                <w:rFonts w:asciiTheme="minorEastAsia" w:hAnsiTheme="minorEastAsia" w:cstheme="minorEastAsia"/>
                <w:bCs/>
                <w:color w:val="auto"/>
                <w:szCs w:val="21"/>
              </w:rPr>
            </w:pPr>
            <w:r>
              <w:rPr>
                <w:rFonts w:hint="eastAsia" w:asciiTheme="minorEastAsia" w:hAnsiTheme="minorEastAsia" w:cstheme="minorEastAsia"/>
                <w:bCs/>
                <w:color w:val="auto"/>
                <w:szCs w:val="21"/>
              </w:rPr>
              <w:t>7月</w:t>
            </w:r>
          </w:p>
        </w:tc>
        <w:tc>
          <w:tcPr>
            <w:tcW w:w="1548" w:type="dxa"/>
          </w:tcPr>
          <w:p>
            <w:pPr>
              <w:jc w:val="center"/>
              <w:rPr>
                <w:rFonts w:asciiTheme="minorEastAsia" w:hAnsiTheme="minorEastAsia" w:cstheme="minorEastAsia"/>
                <w:bCs/>
                <w:color w:val="auto"/>
                <w:szCs w:val="21"/>
              </w:rPr>
            </w:pPr>
          </w:p>
        </w:tc>
        <w:tc>
          <w:tcPr>
            <w:tcW w:w="1548" w:type="dxa"/>
          </w:tcPr>
          <w:p>
            <w:pPr>
              <w:jc w:val="center"/>
              <w:rPr>
                <w:rFonts w:asciiTheme="minorEastAsia" w:hAnsiTheme="minorEastAsia" w:cstheme="minorEastAsia"/>
                <w:bCs/>
                <w:color w:val="auto"/>
                <w:szCs w:val="21"/>
              </w:rPr>
            </w:pPr>
            <w:r>
              <w:rPr>
                <w:rFonts w:hint="eastAsia" w:asciiTheme="minorEastAsia" w:hAnsiTheme="minorEastAsia" w:cstheme="minorEastAsia"/>
                <w:bCs/>
                <w:color w:val="auto"/>
                <w:szCs w:val="21"/>
              </w:rPr>
              <w:t>11月</w:t>
            </w:r>
          </w:p>
        </w:tc>
        <w:tc>
          <w:tcPr>
            <w:tcW w:w="1548" w:type="dxa"/>
          </w:tcPr>
          <w:p>
            <w:pPr>
              <w:jc w:val="center"/>
              <w:rPr>
                <w:rFonts w:asciiTheme="minorEastAsia" w:hAnsiTheme="minorEastAsia" w:cstheme="minorEastAsia"/>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547" w:type="dxa"/>
          </w:tcPr>
          <w:p>
            <w:pPr>
              <w:jc w:val="center"/>
              <w:rPr>
                <w:rFonts w:asciiTheme="minorEastAsia" w:hAnsiTheme="minorEastAsia" w:cstheme="minorEastAsia"/>
                <w:bCs/>
                <w:color w:val="auto"/>
                <w:szCs w:val="21"/>
              </w:rPr>
            </w:pPr>
            <w:r>
              <w:rPr>
                <w:rFonts w:hint="eastAsia" w:asciiTheme="minorEastAsia" w:hAnsiTheme="minorEastAsia" w:cstheme="minorEastAsia"/>
                <w:bCs/>
                <w:color w:val="auto"/>
                <w:szCs w:val="21"/>
              </w:rPr>
              <w:t>4月</w:t>
            </w:r>
          </w:p>
        </w:tc>
        <w:tc>
          <w:tcPr>
            <w:tcW w:w="1547" w:type="dxa"/>
          </w:tcPr>
          <w:p>
            <w:pPr>
              <w:jc w:val="center"/>
              <w:rPr>
                <w:rFonts w:asciiTheme="minorEastAsia" w:hAnsiTheme="minorEastAsia" w:cstheme="minorEastAsia"/>
                <w:bCs/>
                <w:color w:val="auto"/>
                <w:szCs w:val="21"/>
              </w:rPr>
            </w:pPr>
          </w:p>
        </w:tc>
        <w:tc>
          <w:tcPr>
            <w:tcW w:w="1548" w:type="dxa"/>
          </w:tcPr>
          <w:p>
            <w:pPr>
              <w:jc w:val="center"/>
              <w:rPr>
                <w:rFonts w:asciiTheme="minorEastAsia" w:hAnsiTheme="minorEastAsia" w:cstheme="minorEastAsia"/>
                <w:bCs/>
                <w:color w:val="auto"/>
                <w:szCs w:val="21"/>
              </w:rPr>
            </w:pPr>
            <w:r>
              <w:rPr>
                <w:rFonts w:hint="eastAsia" w:asciiTheme="minorEastAsia" w:hAnsiTheme="minorEastAsia" w:cstheme="minorEastAsia"/>
                <w:bCs/>
                <w:color w:val="auto"/>
                <w:szCs w:val="21"/>
              </w:rPr>
              <w:t>8月</w:t>
            </w:r>
          </w:p>
        </w:tc>
        <w:tc>
          <w:tcPr>
            <w:tcW w:w="1548" w:type="dxa"/>
          </w:tcPr>
          <w:p>
            <w:pPr>
              <w:jc w:val="center"/>
              <w:rPr>
                <w:rFonts w:asciiTheme="minorEastAsia" w:hAnsiTheme="minorEastAsia" w:cstheme="minorEastAsia"/>
                <w:bCs/>
                <w:color w:val="auto"/>
                <w:szCs w:val="21"/>
              </w:rPr>
            </w:pPr>
          </w:p>
        </w:tc>
        <w:tc>
          <w:tcPr>
            <w:tcW w:w="1548" w:type="dxa"/>
          </w:tcPr>
          <w:p>
            <w:pPr>
              <w:jc w:val="center"/>
              <w:rPr>
                <w:rFonts w:asciiTheme="minorEastAsia" w:hAnsiTheme="minorEastAsia" w:cstheme="minorEastAsia"/>
                <w:bCs/>
                <w:color w:val="auto"/>
                <w:szCs w:val="21"/>
              </w:rPr>
            </w:pPr>
            <w:r>
              <w:rPr>
                <w:rFonts w:hint="eastAsia" w:asciiTheme="minorEastAsia" w:hAnsiTheme="minorEastAsia" w:cstheme="minorEastAsia"/>
                <w:bCs/>
                <w:color w:val="auto"/>
                <w:szCs w:val="21"/>
              </w:rPr>
              <w:t>12月</w:t>
            </w:r>
          </w:p>
        </w:tc>
        <w:tc>
          <w:tcPr>
            <w:tcW w:w="1548" w:type="dxa"/>
          </w:tcPr>
          <w:p>
            <w:pPr>
              <w:jc w:val="center"/>
              <w:rPr>
                <w:rFonts w:asciiTheme="minorEastAsia" w:hAnsiTheme="minorEastAsia" w:cstheme="minorEastAsia"/>
                <w:bCs/>
                <w:color w:val="auto"/>
                <w:szCs w:val="21"/>
              </w:rPr>
            </w:pPr>
          </w:p>
        </w:tc>
      </w:tr>
    </w:tbl>
    <w:p>
      <w:pPr>
        <w:ind w:firstLine="570"/>
        <w:rPr>
          <w:rFonts w:asciiTheme="minorEastAsia" w:hAnsiTheme="minorEastAsia" w:cstheme="minorEastAsia"/>
          <w:bCs/>
          <w:color w:val="auto"/>
          <w:szCs w:val="21"/>
        </w:rPr>
      </w:pPr>
      <w:r>
        <w:rPr>
          <w:rFonts w:hint="eastAsia" w:asciiTheme="minorEastAsia" w:hAnsiTheme="minorEastAsia" w:cstheme="minorEastAsia"/>
          <w:bCs/>
          <w:color w:val="auto"/>
          <w:szCs w:val="21"/>
        </w:rPr>
        <w:t>备注：上述各月电量以双方在</w:t>
      </w:r>
      <w:r>
        <w:rPr>
          <w:rFonts w:hint="eastAsia" w:asciiTheme="minorEastAsia" w:hAnsiTheme="minorEastAsia" w:cstheme="minorEastAsia"/>
          <w:bCs/>
          <w:color w:val="auto"/>
          <w:sz w:val="21"/>
          <w:szCs w:val="21"/>
          <w:lang w:eastAsia="zh-CN"/>
        </w:rPr>
        <w:t>电力交易平台</w:t>
      </w:r>
      <w:r>
        <w:rPr>
          <w:rFonts w:hint="eastAsia" w:asciiTheme="minorEastAsia" w:hAnsiTheme="minorEastAsia" w:cstheme="minorEastAsia"/>
          <w:bCs/>
          <w:color w:val="auto"/>
          <w:szCs w:val="21"/>
        </w:rPr>
        <w:t>申报确认的乙方月度用电需求为准。</w:t>
      </w:r>
    </w:p>
    <w:p>
      <w:pPr>
        <w:ind w:firstLine="570"/>
        <w:rPr>
          <w:rFonts w:asciiTheme="minorEastAsia" w:hAnsiTheme="minorEastAsia" w:cstheme="minorEastAsia"/>
          <w:b/>
          <w:color w:val="auto"/>
          <w:sz w:val="28"/>
          <w:szCs w:val="28"/>
        </w:rPr>
      </w:pPr>
      <w:r>
        <w:rPr>
          <w:rFonts w:hint="eastAsia" w:asciiTheme="minorEastAsia" w:hAnsiTheme="minorEastAsia" w:cstheme="minorEastAsia"/>
          <w:b/>
          <w:color w:val="auto"/>
          <w:sz w:val="28"/>
          <w:szCs w:val="28"/>
        </w:rPr>
        <w:t>（二）市场电费</w:t>
      </w:r>
    </w:p>
    <w:p>
      <w:pPr>
        <w:spacing w:line="360" w:lineRule="auto"/>
        <w:ind w:firstLine="562" w:firstLineChars="200"/>
        <w:rPr>
          <w:rFonts w:ascii="宋体" w:hAnsi="宋体" w:cs="宋体"/>
          <w:color w:val="auto"/>
          <w:sz w:val="28"/>
          <w:szCs w:val="28"/>
        </w:rPr>
      </w:pPr>
      <w:r>
        <w:rPr>
          <w:rFonts w:hint="eastAsia" w:ascii="宋体" w:hAnsi="宋体" w:cs="宋体"/>
          <w:b/>
          <w:bCs/>
          <w:color w:val="auto"/>
          <w:sz w:val="28"/>
          <w:szCs w:val="28"/>
        </w:rPr>
        <w:t>202</w:t>
      </w:r>
      <w:r>
        <w:rPr>
          <w:rFonts w:hint="eastAsia" w:asciiTheme="minorEastAsia" w:hAnsiTheme="minorEastAsia" w:cstheme="minorEastAsia"/>
          <w:bCs/>
          <w:color w:val="auto"/>
          <w:sz w:val="28"/>
          <w:szCs w:val="28"/>
          <w:u w:val="single"/>
        </w:rPr>
        <w:t xml:space="preserve">   </w:t>
      </w:r>
      <w:r>
        <w:rPr>
          <w:rFonts w:hint="eastAsia" w:ascii="宋体" w:hAnsi="宋体" w:eastAsia="宋体" w:cs="宋体"/>
          <w:b/>
          <w:bCs/>
          <w:color w:val="auto"/>
          <w:sz w:val="28"/>
          <w:szCs w:val="28"/>
        </w:rPr>
        <w:t>年</w:t>
      </w:r>
      <w:r>
        <w:rPr>
          <w:rFonts w:hint="eastAsia" w:asciiTheme="minorEastAsia" w:hAnsiTheme="minorEastAsia" w:cstheme="minorEastAsia"/>
          <w:bCs/>
          <w:color w:val="auto"/>
          <w:sz w:val="28"/>
          <w:szCs w:val="28"/>
          <w:u w:val="single"/>
        </w:rPr>
        <w:t xml:space="preserve">   </w:t>
      </w:r>
      <w:r>
        <w:rPr>
          <w:rFonts w:hint="eastAsia" w:ascii="宋体" w:hAnsi="宋体" w:eastAsia="宋体" w:cs="宋体"/>
          <w:b/>
          <w:bCs/>
          <w:color w:val="auto"/>
          <w:sz w:val="28"/>
          <w:szCs w:val="28"/>
        </w:rPr>
        <w:t xml:space="preserve">月至 </w:t>
      </w:r>
      <w:r>
        <w:rPr>
          <w:rFonts w:hint="eastAsia" w:ascii="宋体" w:hAnsi="宋体" w:cs="宋体"/>
          <w:b/>
          <w:bCs/>
          <w:color w:val="auto"/>
          <w:sz w:val="28"/>
          <w:szCs w:val="28"/>
        </w:rPr>
        <w:t>202</w:t>
      </w:r>
      <w:r>
        <w:rPr>
          <w:rFonts w:hint="eastAsia" w:asciiTheme="minorEastAsia" w:hAnsiTheme="minorEastAsia" w:cstheme="minorEastAsia"/>
          <w:bCs/>
          <w:color w:val="auto"/>
          <w:sz w:val="28"/>
          <w:szCs w:val="28"/>
          <w:u w:val="single"/>
        </w:rPr>
        <w:t xml:space="preserve">   </w:t>
      </w:r>
      <w:r>
        <w:rPr>
          <w:rFonts w:hint="eastAsia" w:ascii="宋体" w:hAnsi="宋体" w:eastAsia="宋体" w:cs="宋体"/>
          <w:b/>
          <w:bCs/>
          <w:color w:val="auto"/>
          <w:sz w:val="28"/>
          <w:szCs w:val="28"/>
        </w:rPr>
        <w:t>年</w:t>
      </w:r>
      <w:r>
        <w:rPr>
          <w:rFonts w:hint="eastAsia" w:asciiTheme="minorEastAsia" w:hAnsiTheme="minorEastAsia" w:cstheme="minorEastAsia"/>
          <w:bCs/>
          <w:color w:val="auto"/>
          <w:sz w:val="28"/>
          <w:szCs w:val="28"/>
          <w:u w:val="single"/>
        </w:rPr>
        <w:t xml:space="preserve">   </w:t>
      </w:r>
      <w:r>
        <w:rPr>
          <w:rFonts w:hint="eastAsia" w:ascii="宋体" w:hAnsi="宋体" w:eastAsia="宋体" w:cs="宋体"/>
          <w:b/>
          <w:bCs/>
          <w:color w:val="auto"/>
          <w:sz w:val="28"/>
          <w:szCs w:val="28"/>
        </w:rPr>
        <w:t>月</w:t>
      </w:r>
      <w:r>
        <w:rPr>
          <w:rFonts w:hint="eastAsia" w:ascii="宋体" w:hAnsi="宋体" w:cs="宋体"/>
          <w:color w:val="auto"/>
          <w:sz w:val="28"/>
          <w:szCs w:val="28"/>
        </w:rPr>
        <w:t>（在零售服务期限内）</w:t>
      </w:r>
    </w:p>
    <w:p>
      <w:pPr>
        <w:pStyle w:val="2"/>
        <w:rPr>
          <w:rFonts w:hint="eastAsia" w:asciiTheme="minorEastAsia" w:hAnsiTheme="minorEastAsia" w:eastAsiaTheme="minorEastAsia" w:cstheme="minorEastAsia"/>
          <w:bCs/>
          <w:color w:val="auto"/>
          <w:kern w:val="2"/>
          <w:sz w:val="28"/>
          <w:szCs w:val="28"/>
          <w:lang w:val="en-US" w:eastAsia="zh-CN" w:bidi="ar-SA"/>
        </w:rPr>
      </w:pPr>
      <w:r>
        <w:rPr>
          <w:rFonts w:hint="eastAsia" w:asciiTheme="minorEastAsia" w:hAnsiTheme="minorEastAsia" w:eastAsiaTheme="minorEastAsia" w:cstheme="minorEastAsia"/>
          <w:bCs/>
          <w:color w:val="auto"/>
          <w:kern w:val="2"/>
          <w:sz w:val="28"/>
          <w:szCs w:val="28"/>
          <w:lang w:val="en-US" w:eastAsia="zh-CN" w:bidi="ar-SA"/>
        </w:rPr>
        <w:t>双方一致同意甲方交易单元</w:t>
      </w:r>
      <w:r>
        <w:rPr>
          <w:rFonts w:hint="eastAsia" w:asciiTheme="minorEastAsia" w:hAnsiTheme="minorEastAsia" w:eastAsiaTheme="minorEastAsia" w:cstheme="minorEastAsia"/>
          <w:bCs/>
          <w:color w:val="auto"/>
          <w:kern w:val="2"/>
          <w:sz w:val="28"/>
          <w:szCs w:val="28"/>
          <w:u w:val="single"/>
          <w:lang w:val="en-US" w:eastAsia="zh-CN" w:bidi="ar-SA"/>
        </w:rPr>
        <w:t xml:space="preserve">            </w:t>
      </w:r>
      <w:r>
        <w:rPr>
          <w:rFonts w:hint="eastAsia" w:asciiTheme="minorEastAsia" w:hAnsiTheme="minorEastAsia" w:eastAsiaTheme="minorEastAsia" w:cstheme="minorEastAsia"/>
          <w:bCs/>
          <w:color w:val="auto"/>
          <w:kern w:val="2"/>
          <w:sz w:val="28"/>
          <w:szCs w:val="28"/>
          <w:lang w:val="en-US" w:eastAsia="zh-CN" w:bidi="ar-SA"/>
        </w:rPr>
        <w:t>的市场电费根据甲方交易单元的市场电量开展结算，按</w:t>
      </w:r>
      <w:r>
        <w:rPr>
          <w:rFonts w:hint="eastAsia" w:asciiTheme="minorEastAsia" w:hAnsiTheme="minorEastAsia" w:eastAsiaTheme="minorEastAsia" w:cstheme="minorEastAsia"/>
          <w:bCs/>
          <w:color w:val="auto"/>
          <w:kern w:val="2"/>
          <w:sz w:val="28"/>
          <w:szCs w:val="28"/>
          <w:u w:val="single"/>
          <w:lang w:val="en-US" w:eastAsia="zh-CN" w:bidi="ar-SA"/>
        </w:rPr>
        <w:t xml:space="preserve">            </w:t>
      </w:r>
      <w:r>
        <w:rPr>
          <w:rFonts w:hint="eastAsia" w:asciiTheme="minorEastAsia" w:hAnsiTheme="minorEastAsia" w:eastAsiaTheme="minorEastAsia" w:cstheme="minorEastAsia"/>
          <w:bCs/>
          <w:color w:val="auto"/>
          <w:kern w:val="2"/>
          <w:sz w:val="28"/>
          <w:szCs w:val="28"/>
          <w:lang w:val="en-US" w:eastAsia="zh-CN" w:bidi="ar-SA"/>
        </w:rPr>
        <w:t>（必选项，电量电费结算套餐、电量电费结算套餐+峰谷价差电费套餐、电量电费结算套餐+</w:t>
      </w:r>
      <w:r>
        <w:rPr>
          <w:rFonts w:hint="eastAsia" w:asciiTheme="minorEastAsia" w:hAnsiTheme="minorEastAsia" w:eastAsiaTheme="minorEastAsia" w:cstheme="minorEastAsia"/>
          <w:bCs/>
          <w:color w:val="auto"/>
          <w:sz w:val="28"/>
          <w:szCs w:val="28"/>
        </w:rPr>
        <w:t>浮动电费结算套餐</w:t>
      </w:r>
      <w:r>
        <w:rPr>
          <w:rFonts w:hint="eastAsia" w:asciiTheme="minorEastAsia" w:hAnsiTheme="minorEastAsia" w:eastAsiaTheme="minorEastAsia" w:cstheme="minorEastAsia"/>
          <w:bCs/>
          <w:color w:val="auto"/>
          <w:sz w:val="28"/>
          <w:szCs w:val="28"/>
          <w:lang w:eastAsia="zh-CN"/>
        </w:rPr>
        <w:t>、</w:t>
      </w:r>
      <w:r>
        <w:rPr>
          <w:rFonts w:hint="eastAsia" w:asciiTheme="minorEastAsia" w:hAnsiTheme="minorEastAsia" w:eastAsiaTheme="minorEastAsia" w:cstheme="minorEastAsia"/>
          <w:bCs/>
          <w:color w:val="auto"/>
          <w:kern w:val="2"/>
          <w:sz w:val="28"/>
          <w:szCs w:val="28"/>
          <w:lang w:val="en-US" w:eastAsia="zh-CN" w:bidi="ar-SA"/>
        </w:rPr>
        <w:t>电量电费结算套餐+现货分摊分享类不平衡资金结算套餐、电量电费结算套餐+峰谷价差电费套餐+浮动电费结算套餐、电量电费结算套餐+峰谷价差电费套餐+</w:t>
      </w:r>
      <w:r>
        <w:rPr>
          <w:rFonts w:hint="eastAsia" w:asciiTheme="minorEastAsia" w:hAnsiTheme="minorEastAsia" w:eastAsiaTheme="minorEastAsia" w:cstheme="minorEastAsia"/>
          <w:bCs/>
          <w:color w:val="auto"/>
          <w:sz w:val="28"/>
          <w:szCs w:val="28"/>
        </w:rPr>
        <w:t>现货分摊分享类不平衡资金结算套餐</w:t>
      </w:r>
      <w:r>
        <w:rPr>
          <w:rFonts w:hint="eastAsia" w:asciiTheme="minorEastAsia" w:hAnsiTheme="minorEastAsia" w:eastAsiaTheme="minorEastAsia" w:cstheme="minorEastAsia"/>
          <w:bCs/>
          <w:color w:val="auto"/>
          <w:kern w:val="2"/>
          <w:sz w:val="28"/>
          <w:szCs w:val="28"/>
          <w:lang w:val="en-US" w:eastAsia="zh-CN" w:bidi="ar-SA"/>
        </w:rPr>
        <w:t>、</w:t>
      </w:r>
      <w:r>
        <w:rPr>
          <w:rFonts w:hint="eastAsia" w:asciiTheme="minorEastAsia" w:hAnsiTheme="minorEastAsia" w:eastAsiaTheme="minorEastAsia" w:cstheme="minorEastAsia"/>
          <w:bCs/>
          <w:color w:val="auto"/>
          <w:sz w:val="28"/>
          <w:szCs w:val="28"/>
        </w:rPr>
        <w:t>电量电费结算套餐</w:t>
      </w:r>
      <w:r>
        <w:rPr>
          <w:rFonts w:hint="eastAsia" w:asciiTheme="minorEastAsia" w:hAnsiTheme="minorEastAsia" w:eastAsiaTheme="minorEastAsia" w:cstheme="minorEastAsia"/>
          <w:bCs/>
          <w:color w:val="auto"/>
          <w:sz w:val="28"/>
          <w:szCs w:val="28"/>
          <w:lang w:val="en-US" w:eastAsia="zh-CN"/>
        </w:rPr>
        <w:t>+浮动电费结算套餐+现货分摊分享类不平衡资金结算套餐、</w:t>
      </w:r>
      <w:r>
        <w:rPr>
          <w:rFonts w:hint="eastAsia" w:asciiTheme="minorEastAsia" w:hAnsiTheme="minorEastAsia" w:eastAsiaTheme="minorEastAsia" w:cstheme="minorEastAsia"/>
          <w:bCs/>
          <w:color w:val="auto"/>
          <w:kern w:val="2"/>
          <w:sz w:val="28"/>
          <w:szCs w:val="28"/>
          <w:lang w:val="en-US" w:eastAsia="zh-CN" w:bidi="ar-SA"/>
        </w:rPr>
        <w:t>电量电费结算套餐+峰谷价差电费套餐+浮动电费结算套餐+现货分摊分享类不平衡资金结算套餐，任选其一）确定，其中峰谷价差电费套餐仅在在批发市场开展现货全月结算试运行时生效，全体零售用户执行。下列条款中相关的价格和价差按照广西电力市场零售结算管理办法执行。</w:t>
      </w:r>
    </w:p>
    <w:p>
      <w:pPr>
        <w:ind w:firstLine="570"/>
        <w:rPr>
          <w:rFonts w:hint="eastAsia" w:asciiTheme="minorEastAsia" w:hAnsiTheme="minorEastAsia" w:eastAsiaTheme="minorEastAsia" w:cstheme="minorEastAsia"/>
          <w:b/>
          <w:color w:val="auto"/>
          <w:sz w:val="28"/>
          <w:szCs w:val="28"/>
          <w:lang w:eastAsia="zh-CN"/>
        </w:rPr>
      </w:pPr>
      <w:r>
        <w:rPr>
          <w:rFonts w:hint="eastAsia" w:asciiTheme="minorEastAsia" w:hAnsiTheme="minorEastAsia" w:cstheme="minorEastAsia"/>
          <w:b/>
          <w:color w:val="auto"/>
          <w:sz w:val="28"/>
          <w:szCs w:val="28"/>
        </w:rPr>
        <w:t>1</w:t>
      </w:r>
      <w:r>
        <w:rPr>
          <w:rFonts w:hint="eastAsia" w:asciiTheme="minorEastAsia" w:hAnsiTheme="minorEastAsia" w:cstheme="minorEastAsia"/>
          <w:b/>
          <w:color w:val="auto"/>
          <w:sz w:val="28"/>
          <w:szCs w:val="28"/>
          <w:lang w:val="en-US" w:eastAsia="zh-CN"/>
        </w:rPr>
        <w:t>.</w:t>
      </w:r>
      <w:r>
        <w:rPr>
          <w:rFonts w:hint="eastAsia" w:asciiTheme="minorEastAsia" w:hAnsiTheme="minorEastAsia" w:cstheme="minorEastAsia"/>
          <w:b/>
          <w:color w:val="auto"/>
          <w:sz w:val="28"/>
          <w:szCs w:val="28"/>
        </w:rPr>
        <w:t>电量电费结算</w:t>
      </w:r>
      <w:r>
        <w:rPr>
          <w:rFonts w:hint="eastAsia" w:asciiTheme="minorEastAsia" w:hAnsiTheme="minorEastAsia" w:cstheme="minorEastAsia"/>
          <w:b/>
          <w:color w:val="auto"/>
          <w:sz w:val="28"/>
          <w:szCs w:val="28"/>
          <w:lang w:val="en-US" w:eastAsia="zh-CN"/>
        </w:rPr>
        <w:t>套餐</w:t>
      </w:r>
    </w:p>
    <w:p>
      <w:pPr>
        <w:ind w:firstLine="570"/>
        <w:rPr>
          <w:rFonts w:asciiTheme="minorEastAsia" w:hAnsiTheme="minorEastAsia" w:cstheme="minorEastAsia"/>
          <w:bCs/>
          <w:color w:val="auto"/>
          <w:sz w:val="28"/>
          <w:szCs w:val="28"/>
        </w:rPr>
      </w:pPr>
      <w:r>
        <w:rPr>
          <w:rFonts w:hint="eastAsia" w:asciiTheme="minorEastAsia" w:hAnsiTheme="minorEastAsia" w:cstheme="minorEastAsia"/>
          <w:bCs/>
          <w:color w:val="auto"/>
          <w:sz w:val="28"/>
          <w:szCs w:val="28"/>
        </w:rPr>
        <w:t>双方约定结算模式为</w:t>
      </w:r>
      <w:r>
        <w:rPr>
          <w:rFonts w:hint="eastAsia" w:asciiTheme="minorEastAsia" w:hAnsiTheme="minorEastAsia" w:cstheme="minorEastAsia"/>
          <w:bCs/>
          <w:color w:val="auto"/>
          <w:sz w:val="28"/>
          <w:szCs w:val="28"/>
          <w:u w:val="single"/>
        </w:rPr>
        <w:t xml:space="preserve">       </w:t>
      </w:r>
      <w:r>
        <w:rPr>
          <w:rFonts w:hint="eastAsia" w:asciiTheme="minorEastAsia" w:hAnsiTheme="minorEastAsia" w:cstheme="minorEastAsia"/>
          <w:bCs/>
          <w:color w:val="auto"/>
          <w:sz w:val="28"/>
          <w:szCs w:val="28"/>
        </w:rPr>
        <w:t>（月度</w:t>
      </w:r>
      <w:r>
        <w:rPr>
          <w:rFonts w:hint="eastAsia" w:asciiTheme="minorEastAsia" w:hAnsiTheme="minorEastAsia" w:cstheme="minorEastAsia"/>
          <w:bCs/>
          <w:color w:val="auto"/>
          <w:sz w:val="28"/>
          <w:szCs w:val="28"/>
          <w:lang w:val="en-US" w:eastAsia="zh-CN"/>
        </w:rPr>
        <w:t>组合</w:t>
      </w:r>
      <w:r>
        <w:rPr>
          <w:rFonts w:hint="eastAsia" w:asciiTheme="minorEastAsia" w:hAnsiTheme="minorEastAsia" w:cstheme="minorEastAsia"/>
          <w:bCs/>
          <w:color w:val="auto"/>
          <w:sz w:val="28"/>
          <w:szCs w:val="28"/>
        </w:rPr>
        <w:t>价格</w:t>
      </w:r>
      <w:r>
        <w:rPr>
          <w:rFonts w:hint="eastAsia" w:asciiTheme="minorEastAsia" w:hAnsiTheme="minorEastAsia" w:cstheme="minorEastAsia"/>
          <w:bCs/>
          <w:color w:val="auto"/>
          <w:sz w:val="28"/>
          <w:szCs w:val="28"/>
          <w:lang w:val="en-US" w:eastAsia="zh-CN"/>
        </w:rPr>
        <w:t>模式</w:t>
      </w:r>
      <w:r>
        <w:rPr>
          <w:rFonts w:hint="eastAsia" w:asciiTheme="minorEastAsia" w:hAnsiTheme="minorEastAsia" w:cstheme="minorEastAsia"/>
          <w:bCs/>
          <w:color w:val="auto"/>
          <w:sz w:val="28"/>
          <w:szCs w:val="28"/>
        </w:rPr>
        <w:t>、月度价差分成</w:t>
      </w:r>
      <w:r>
        <w:rPr>
          <w:rFonts w:hint="eastAsia" w:asciiTheme="minorEastAsia" w:hAnsiTheme="minorEastAsia" w:cstheme="minorEastAsia"/>
          <w:bCs/>
          <w:color w:val="auto"/>
          <w:sz w:val="28"/>
          <w:szCs w:val="28"/>
          <w:lang w:val="en-US" w:eastAsia="zh-CN"/>
        </w:rPr>
        <w:t>模式</w:t>
      </w:r>
      <w:r>
        <w:rPr>
          <w:rFonts w:hint="eastAsia" w:asciiTheme="minorEastAsia" w:hAnsiTheme="minorEastAsia" w:cstheme="minorEastAsia"/>
          <w:bCs/>
          <w:color w:val="auto"/>
          <w:sz w:val="28"/>
          <w:szCs w:val="28"/>
        </w:rPr>
        <w:t>、月度保底分成</w:t>
      </w:r>
      <w:r>
        <w:rPr>
          <w:rFonts w:hint="eastAsia" w:asciiTheme="minorEastAsia" w:hAnsiTheme="minorEastAsia" w:cstheme="minorEastAsia"/>
          <w:bCs/>
          <w:color w:val="auto"/>
          <w:sz w:val="28"/>
          <w:szCs w:val="28"/>
          <w:lang w:val="en-US" w:eastAsia="zh-CN"/>
        </w:rPr>
        <w:t>模式</w:t>
      </w:r>
      <w:r>
        <w:rPr>
          <w:rFonts w:hint="eastAsia" w:asciiTheme="minorEastAsia" w:hAnsiTheme="minorEastAsia" w:cstheme="minorEastAsia"/>
          <w:bCs/>
          <w:color w:val="auto"/>
          <w:sz w:val="28"/>
          <w:szCs w:val="28"/>
        </w:rPr>
        <w:t>，任选其一）。</w:t>
      </w:r>
    </w:p>
    <w:p>
      <w:pPr>
        <w:ind w:firstLine="570"/>
        <w:rPr>
          <w:rFonts w:hint="eastAsia" w:asciiTheme="minorEastAsia" w:hAnsiTheme="minorEastAsia" w:eastAsiaTheme="minorEastAsia" w:cstheme="minorEastAsia"/>
          <w:b/>
          <w:color w:val="auto"/>
          <w:sz w:val="28"/>
          <w:szCs w:val="28"/>
          <w:lang w:val="en-US" w:eastAsia="zh-CN"/>
        </w:rPr>
      </w:pPr>
      <w:r>
        <w:rPr>
          <w:rFonts w:hint="eastAsia" w:asciiTheme="minorEastAsia" w:hAnsiTheme="minorEastAsia" w:cstheme="minorEastAsia"/>
          <w:b/>
          <w:color w:val="auto"/>
          <w:sz w:val="28"/>
          <w:szCs w:val="28"/>
        </w:rPr>
        <w:t>（1）月度</w:t>
      </w:r>
      <w:r>
        <w:rPr>
          <w:rFonts w:hint="eastAsia" w:asciiTheme="minorEastAsia" w:hAnsiTheme="minorEastAsia" w:cstheme="minorEastAsia"/>
          <w:b/>
          <w:color w:val="auto"/>
          <w:sz w:val="28"/>
          <w:szCs w:val="28"/>
          <w:lang w:val="en-US" w:eastAsia="zh-CN"/>
        </w:rPr>
        <w:t>组合</w:t>
      </w:r>
      <w:r>
        <w:rPr>
          <w:rFonts w:hint="eastAsia" w:asciiTheme="minorEastAsia" w:hAnsiTheme="minorEastAsia" w:cstheme="minorEastAsia"/>
          <w:b/>
          <w:color w:val="auto"/>
          <w:sz w:val="28"/>
          <w:szCs w:val="28"/>
        </w:rPr>
        <w:t>价格</w:t>
      </w:r>
      <w:r>
        <w:rPr>
          <w:rFonts w:hint="eastAsia" w:asciiTheme="minorEastAsia" w:hAnsiTheme="minorEastAsia" w:cstheme="minorEastAsia"/>
          <w:b/>
          <w:color w:val="auto"/>
          <w:sz w:val="28"/>
          <w:szCs w:val="28"/>
          <w:lang w:val="en-US" w:eastAsia="zh-CN"/>
        </w:rPr>
        <w:t>模式</w:t>
      </w:r>
    </w:p>
    <w:p>
      <w:pPr>
        <w:ind w:firstLine="570"/>
        <w:rPr>
          <w:rFonts w:hint="eastAsia" w:asciiTheme="minorEastAsia" w:hAnsiTheme="minorEastAsia" w:eastAsiaTheme="minorEastAsia" w:cstheme="minorEastAsia"/>
          <w:bCs/>
          <w:color w:val="auto"/>
          <w:sz w:val="28"/>
          <w:szCs w:val="28"/>
        </w:rPr>
      </w:pPr>
      <w:r>
        <w:rPr>
          <w:rFonts w:hint="eastAsia" w:asciiTheme="minorEastAsia" w:hAnsiTheme="minorEastAsia" w:eastAsiaTheme="minorEastAsia" w:cstheme="minorEastAsia"/>
          <w:bCs/>
          <w:color w:val="auto"/>
          <w:sz w:val="28"/>
          <w:szCs w:val="28"/>
        </w:rPr>
        <w:t>月度</w:t>
      </w:r>
      <w:r>
        <w:rPr>
          <w:rFonts w:hint="eastAsia" w:asciiTheme="minorEastAsia" w:hAnsiTheme="minorEastAsia" w:cstheme="minorEastAsia"/>
          <w:bCs/>
          <w:color w:val="auto"/>
          <w:sz w:val="28"/>
          <w:szCs w:val="28"/>
          <w:lang w:val="en-US" w:eastAsia="zh-CN"/>
        </w:rPr>
        <w:t>组合</w:t>
      </w:r>
      <w:r>
        <w:rPr>
          <w:rFonts w:hint="eastAsia" w:asciiTheme="minorEastAsia" w:hAnsiTheme="minorEastAsia" w:eastAsiaTheme="minorEastAsia" w:cstheme="minorEastAsia"/>
          <w:bCs/>
          <w:color w:val="auto"/>
          <w:sz w:val="28"/>
          <w:szCs w:val="28"/>
        </w:rPr>
        <w:t>价格模式是指</w:t>
      </w:r>
      <w:r>
        <w:rPr>
          <w:rFonts w:hint="eastAsia" w:asciiTheme="minorEastAsia" w:hAnsiTheme="minorEastAsia" w:cstheme="minorEastAsia"/>
          <w:bCs/>
          <w:color w:val="auto"/>
          <w:sz w:val="28"/>
          <w:szCs w:val="28"/>
          <w:lang w:val="en-US" w:eastAsia="zh-CN"/>
        </w:rPr>
        <w:t>甲乙双方</w:t>
      </w:r>
      <w:r>
        <w:rPr>
          <w:rFonts w:hint="eastAsia" w:asciiTheme="minorEastAsia" w:hAnsiTheme="minorEastAsia" w:eastAsiaTheme="minorEastAsia" w:cstheme="minorEastAsia"/>
          <w:bCs/>
          <w:color w:val="auto"/>
          <w:sz w:val="28"/>
          <w:szCs w:val="28"/>
        </w:rPr>
        <w:t>约定，对</w:t>
      </w:r>
      <w:r>
        <w:rPr>
          <w:rFonts w:hint="eastAsia" w:asciiTheme="minorEastAsia" w:hAnsiTheme="minorEastAsia" w:cstheme="minorEastAsia"/>
          <w:bCs/>
          <w:color w:val="auto"/>
          <w:sz w:val="28"/>
          <w:szCs w:val="28"/>
          <w:lang w:val="en-US" w:eastAsia="zh-CN"/>
        </w:rPr>
        <w:t>甲方</w:t>
      </w:r>
      <w:r>
        <w:rPr>
          <w:rFonts w:hint="eastAsia" w:asciiTheme="minorEastAsia" w:hAnsiTheme="minorEastAsia" w:eastAsiaTheme="minorEastAsia" w:cstheme="minorEastAsia"/>
          <w:bCs/>
          <w:color w:val="auto"/>
          <w:sz w:val="28"/>
          <w:szCs w:val="28"/>
          <w:lang w:eastAsia="zh-CN"/>
        </w:rPr>
        <w:t>市场</w:t>
      </w:r>
      <w:r>
        <w:rPr>
          <w:rFonts w:hint="eastAsia" w:asciiTheme="minorEastAsia" w:hAnsiTheme="minorEastAsia" w:eastAsiaTheme="minorEastAsia" w:cstheme="minorEastAsia"/>
          <w:bCs/>
          <w:color w:val="auto"/>
          <w:sz w:val="28"/>
          <w:szCs w:val="28"/>
        </w:rPr>
        <w:t>电量按照</w:t>
      </w:r>
      <w:r>
        <w:rPr>
          <w:rFonts w:hint="eastAsia" w:asciiTheme="minorEastAsia" w:hAnsiTheme="minorEastAsia" w:eastAsiaTheme="minorEastAsia" w:cstheme="minorEastAsia"/>
          <w:bCs/>
          <w:color w:val="auto"/>
          <w:sz w:val="28"/>
          <w:szCs w:val="28"/>
          <w:lang w:val="en-US" w:eastAsia="zh-CN"/>
        </w:rPr>
        <w:t>一定比例</w:t>
      </w:r>
      <w:r>
        <w:rPr>
          <w:rFonts w:hint="eastAsia" w:asciiTheme="minorEastAsia" w:hAnsiTheme="minorEastAsia" w:eastAsiaTheme="minorEastAsia" w:cstheme="minorEastAsia"/>
          <w:bCs/>
          <w:color w:val="auto"/>
          <w:sz w:val="28"/>
          <w:szCs w:val="28"/>
          <w:lang w:eastAsia="zh-CN"/>
        </w:rPr>
        <w:t>分别结算固定价格和联动价格的结算方法</w:t>
      </w:r>
      <w:r>
        <w:rPr>
          <w:rFonts w:hint="eastAsia" w:asciiTheme="minorEastAsia" w:hAnsiTheme="minorEastAsia" w:eastAsiaTheme="minorEastAsia" w:cstheme="minorEastAsia"/>
          <w:bCs/>
          <w:color w:val="auto"/>
          <w:sz w:val="28"/>
          <w:szCs w:val="28"/>
        </w:rPr>
        <w:t>。须对</w:t>
      </w:r>
      <w:r>
        <w:rPr>
          <w:rFonts w:hint="eastAsia" w:asciiTheme="minorEastAsia" w:hAnsiTheme="minorEastAsia" w:cstheme="minorEastAsia"/>
          <w:bCs/>
          <w:color w:val="auto"/>
          <w:sz w:val="28"/>
          <w:szCs w:val="28"/>
          <w:lang w:val="en-US" w:eastAsia="zh-CN"/>
        </w:rPr>
        <w:t>甲方</w:t>
      </w:r>
      <w:r>
        <w:rPr>
          <w:rFonts w:hint="eastAsia" w:asciiTheme="minorEastAsia" w:hAnsiTheme="minorEastAsia" w:eastAsiaTheme="minorEastAsia" w:cstheme="minorEastAsia"/>
          <w:bCs/>
          <w:color w:val="auto"/>
          <w:sz w:val="28"/>
          <w:szCs w:val="28"/>
        </w:rPr>
        <w:t>现货期间电量、非现货期间电量分别设置，其中仅现货期间电</w:t>
      </w:r>
      <w:bookmarkStart w:id="103" w:name="_GoBack"/>
      <w:bookmarkEnd w:id="103"/>
      <w:r>
        <w:rPr>
          <w:rFonts w:hint="eastAsia" w:asciiTheme="minorEastAsia" w:hAnsiTheme="minorEastAsia" w:eastAsiaTheme="minorEastAsia" w:cstheme="minorEastAsia"/>
          <w:bCs/>
          <w:color w:val="auto"/>
          <w:sz w:val="28"/>
          <w:szCs w:val="28"/>
        </w:rPr>
        <w:t>量允许联动</w:t>
      </w:r>
      <w:r>
        <w:rPr>
          <w:rFonts w:hint="eastAsia" w:asciiTheme="minorEastAsia" w:hAnsiTheme="minorEastAsia" w:cstheme="minorEastAsia"/>
          <w:bCs/>
          <w:color w:val="auto"/>
          <w:sz w:val="28"/>
          <w:szCs w:val="28"/>
          <w:lang w:val="en-US" w:eastAsia="zh-CN"/>
        </w:rPr>
        <w:t>现货</w:t>
      </w:r>
      <w:r>
        <w:rPr>
          <w:rFonts w:hint="eastAsia" w:asciiTheme="minorEastAsia" w:hAnsiTheme="minorEastAsia" w:eastAsiaTheme="minorEastAsia" w:cstheme="minorEastAsia"/>
          <w:bCs/>
          <w:color w:val="auto"/>
          <w:sz w:val="28"/>
          <w:szCs w:val="28"/>
        </w:rPr>
        <w:t>市场加权平均价格</w:t>
      </w:r>
    </w:p>
    <w:p>
      <w:pPr>
        <w:pStyle w:val="2"/>
        <w:rPr>
          <w:rFonts w:hint="default" w:asciiTheme="minorEastAsia" w:hAnsiTheme="minorEastAsia" w:eastAsiaTheme="minorEastAsia" w:cstheme="minorEastAsia"/>
          <w:bCs/>
          <w:color w:val="auto"/>
          <w:kern w:val="2"/>
          <w:sz w:val="28"/>
          <w:szCs w:val="28"/>
          <w:lang w:val="en-US" w:eastAsia="zh-CN" w:bidi="ar-SA"/>
        </w:rPr>
      </w:pPr>
      <w:r>
        <w:rPr>
          <w:rFonts w:hint="default" w:asciiTheme="minorEastAsia" w:hAnsiTheme="minorEastAsia" w:eastAsiaTheme="minorEastAsia" w:cstheme="minorEastAsia"/>
          <w:bCs/>
          <w:color w:val="auto"/>
          <w:sz w:val="28"/>
          <w:szCs w:val="28"/>
          <w:lang w:val="en-US"/>
        </w:rPr>
        <w:t>电能量价格</w:t>
      </w:r>
      <w:r>
        <w:rPr>
          <w:rFonts w:hint="eastAsia" w:asciiTheme="minorEastAsia" w:hAnsiTheme="minorEastAsia" w:eastAsiaTheme="minorEastAsia" w:cstheme="minorEastAsia"/>
          <w:bCs/>
          <w:color w:val="auto"/>
          <w:sz w:val="28"/>
          <w:szCs w:val="28"/>
          <w:lang w:val="en-US" w:eastAsia="zh-CN"/>
        </w:rPr>
        <w:t>=</w:t>
      </w:r>
      <w:r>
        <w:rPr>
          <w:rFonts w:hint="eastAsia" w:asciiTheme="minorEastAsia" w:hAnsiTheme="minorEastAsia" w:eastAsiaTheme="minorEastAsia" w:cstheme="minorEastAsia"/>
          <w:bCs/>
          <w:color w:val="auto"/>
          <w:kern w:val="2"/>
          <w:sz w:val="28"/>
          <w:szCs w:val="28"/>
          <w:lang w:bidi="ar-SA"/>
        </w:rPr>
        <w:t>固定价格</w:t>
      </w:r>
      <w:r>
        <w:rPr>
          <w:rFonts w:hint="eastAsia" w:asciiTheme="minorEastAsia" w:hAnsiTheme="minorEastAsia" w:eastAsiaTheme="minorEastAsia" w:cstheme="minorEastAsia"/>
          <w:bCs/>
          <w:color w:val="auto"/>
          <w:kern w:val="2"/>
          <w:sz w:val="28"/>
          <w:szCs w:val="28"/>
          <w:lang w:val="en-US" w:eastAsia="zh-CN" w:bidi="ar-SA"/>
        </w:rPr>
        <w:t>×</w:t>
      </w:r>
      <w:r>
        <w:rPr>
          <w:rFonts w:hint="eastAsia" w:asciiTheme="minorEastAsia" w:hAnsiTheme="minorEastAsia" w:eastAsiaTheme="minorEastAsia" w:cstheme="minorEastAsia"/>
          <w:bCs/>
          <w:color w:val="auto"/>
          <w:kern w:val="2"/>
          <w:position w:val="0"/>
          <w:sz w:val="28"/>
          <w:szCs w:val="28"/>
          <w:lang w:val="en-US" w:eastAsia="zh-CN" w:bidi="ar-SA"/>
        </w:rPr>
        <w:t>固定价格比例+联动价格×（1-固定价格比例）</w:t>
      </w:r>
    </w:p>
    <w:p>
      <w:pPr>
        <w:pStyle w:val="2"/>
        <w:rPr>
          <w:rFonts w:hint="default" w:eastAsia="宋体" w:asciiTheme="minorEastAsia" w:hAnsiTheme="minorEastAsia" w:cstheme="minorEastAsia"/>
          <w:bCs/>
          <w:color w:val="auto"/>
          <w:kern w:val="2"/>
          <w:sz w:val="28"/>
          <w:szCs w:val="28"/>
          <w:lang w:val="en-US" w:eastAsia="zh-CN" w:bidi="ar-SA"/>
        </w:rPr>
      </w:pPr>
      <w:r>
        <w:rPr>
          <w:rFonts w:hint="eastAsia" w:asciiTheme="minorEastAsia" w:hAnsiTheme="minorEastAsia" w:eastAsiaTheme="minorEastAsia" w:cstheme="minorEastAsia"/>
          <w:bCs/>
          <w:color w:val="auto"/>
          <w:kern w:val="2"/>
          <w:sz w:val="28"/>
          <w:szCs w:val="28"/>
          <w:lang w:val="en-US" w:eastAsia="zh-CN" w:bidi="ar-SA"/>
        </w:rPr>
        <w:t>电能量电费=结算电量×</w:t>
      </w:r>
      <w:r>
        <w:rPr>
          <w:rFonts w:hint="default" w:ascii="Times New Roman" w:hAnsi="Times New Roman" w:eastAsia="宋体" w:cs="Times New Roman"/>
          <w:color w:val="auto"/>
          <w:sz w:val="28"/>
          <w:szCs w:val="28"/>
          <w:lang w:val="en-US"/>
        </w:rPr>
        <w:t>电能量价格</w:t>
      </w:r>
    </w:p>
    <w:p>
      <w:pPr>
        <w:numPr>
          <w:ilvl w:val="-1"/>
          <w:numId w:val="0"/>
        </w:numPr>
        <w:adjustRightInd/>
        <w:snapToGrid/>
        <w:spacing w:line="240" w:lineRule="auto"/>
        <w:ind w:firstLine="570" w:firstLineChars="0"/>
        <w:rPr>
          <w:rFonts w:hint="eastAsia" w:asciiTheme="minorEastAsia" w:hAnsiTheme="minorEastAsia" w:cstheme="minorEastAsia"/>
          <w:b w:val="0"/>
          <w:bCs/>
          <w:color w:val="auto"/>
          <w:kern w:val="2"/>
          <w:position w:val="0"/>
          <w:sz w:val="28"/>
          <w:szCs w:val="28"/>
          <w:lang w:val="en-US" w:eastAsia="zh-CN" w:bidi="ar-SA"/>
        </w:rPr>
      </w:pPr>
      <w:r>
        <w:rPr>
          <w:rFonts w:hint="eastAsia" w:asciiTheme="minorEastAsia" w:hAnsiTheme="minorEastAsia" w:eastAsiaTheme="minorEastAsia" w:cstheme="minorEastAsia"/>
          <w:b/>
          <w:bCs w:val="0"/>
          <w:color w:val="auto"/>
          <w:sz w:val="28"/>
          <w:szCs w:val="28"/>
        </w:rPr>
        <w:t>固定价格</w:t>
      </w:r>
      <w:r>
        <w:rPr>
          <w:rFonts w:hint="eastAsia" w:asciiTheme="minorEastAsia" w:hAnsiTheme="minorEastAsia" w:eastAsiaTheme="minorEastAsia" w:cstheme="minorEastAsia"/>
          <w:b w:val="0"/>
          <w:bCs/>
          <w:color w:val="auto"/>
          <w:sz w:val="28"/>
          <w:szCs w:val="28"/>
          <w:lang w:eastAsia="zh-CN"/>
        </w:rPr>
        <w:t>：</w:t>
      </w:r>
      <w:r>
        <w:rPr>
          <w:rFonts w:hint="eastAsia" w:asciiTheme="minorEastAsia" w:hAnsiTheme="minorEastAsia" w:cstheme="minorEastAsia"/>
          <w:b w:val="0"/>
          <w:bCs/>
          <w:color w:val="auto"/>
          <w:sz w:val="28"/>
          <w:szCs w:val="28"/>
          <w:lang w:val="en-US" w:eastAsia="zh-CN"/>
        </w:rPr>
        <w:t>甲乙</w:t>
      </w:r>
      <w:r>
        <w:rPr>
          <w:rFonts w:hint="eastAsia" w:asciiTheme="minorEastAsia" w:hAnsiTheme="minorEastAsia" w:eastAsiaTheme="minorEastAsia" w:cstheme="minorEastAsia"/>
          <w:b w:val="0"/>
          <w:bCs/>
          <w:color w:val="auto"/>
          <w:sz w:val="28"/>
          <w:szCs w:val="28"/>
        </w:rPr>
        <w:t>双方协商同意的某一固定值</w:t>
      </w:r>
      <w:r>
        <w:rPr>
          <w:rFonts w:hint="eastAsia" w:asciiTheme="minorEastAsia" w:hAnsiTheme="minorEastAsia" w:cstheme="minorEastAsia"/>
          <w:b w:val="0"/>
          <w:bCs/>
          <w:color w:val="auto"/>
          <w:sz w:val="28"/>
          <w:szCs w:val="28"/>
          <w:lang w:eastAsia="zh-CN"/>
        </w:rPr>
        <w:t>。</w:t>
      </w:r>
    </w:p>
    <w:p>
      <w:pPr>
        <w:numPr>
          <w:ilvl w:val="255"/>
          <w:numId w:val="0"/>
        </w:numPr>
        <w:adjustRightInd w:val="0"/>
        <w:snapToGrid w:val="0"/>
        <w:spacing w:line="360" w:lineRule="auto"/>
        <w:ind w:firstLine="562" w:firstLineChars="200"/>
        <w:rPr>
          <w:rFonts w:hint="eastAsia" w:ascii="宋体" w:hAnsi="宋体" w:eastAsia="宋体" w:cs="宋体"/>
          <w:color w:val="auto"/>
          <w:sz w:val="28"/>
          <w:szCs w:val="28"/>
        </w:rPr>
      </w:pPr>
      <w:r>
        <w:rPr>
          <w:rFonts w:hint="eastAsia" w:asciiTheme="minorEastAsia" w:hAnsiTheme="minorEastAsia" w:cstheme="minorEastAsia"/>
          <w:b/>
          <w:bCs w:val="0"/>
          <w:color w:val="auto"/>
          <w:kern w:val="2"/>
          <w:position w:val="0"/>
          <w:sz w:val="28"/>
          <w:szCs w:val="28"/>
          <w:lang w:val="en-US" w:eastAsia="zh-CN" w:bidi="ar-SA"/>
        </w:rPr>
        <w:t>市场</w:t>
      </w:r>
      <w:r>
        <w:rPr>
          <w:rFonts w:hint="eastAsia" w:asciiTheme="minorEastAsia" w:hAnsiTheme="minorEastAsia" w:eastAsiaTheme="minorEastAsia" w:cstheme="minorEastAsia"/>
          <w:b/>
          <w:bCs w:val="0"/>
          <w:color w:val="auto"/>
          <w:kern w:val="2"/>
          <w:position w:val="0"/>
          <w:sz w:val="28"/>
          <w:szCs w:val="28"/>
          <w:lang w:val="en-US" w:eastAsia="zh-CN" w:bidi="ar-SA"/>
        </w:rPr>
        <w:t>联动价格</w:t>
      </w:r>
      <w:r>
        <w:rPr>
          <w:rFonts w:hint="eastAsia" w:ascii="宋体" w:hAnsi="宋体" w:eastAsia="宋体" w:cs="宋体"/>
          <w:color w:val="auto"/>
          <w:sz w:val="28"/>
          <w:szCs w:val="28"/>
        </w:rPr>
        <w:t>可选择以下方式：</w:t>
      </w:r>
    </w:p>
    <w:p>
      <w:pPr>
        <w:ind w:firstLine="570"/>
        <w:rPr>
          <w:rFonts w:hint="eastAsia" w:asciiTheme="minorEastAsia" w:hAnsiTheme="minorEastAsia" w:eastAsiaTheme="minorEastAsia" w:cstheme="minorEastAsia"/>
          <w:bCs/>
          <w:color w:val="auto"/>
          <w:sz w:val="28"/>
          <w:szCs w:val="28"/>
          <w:lang w:eastAsia="zh-CN"/>
        </w:rPr>
      </w:pPr>
      <w:r>
        <w:rPr>
          <w:rFonts w:hint="eastAsia" w:asciiTheme="minorEastAsia" w:hAnsiTheme="minorEastAsia" w:eastAsiaTheme="minorEastAsia" w:cstheme="minorEastAsia"/>
          <w:bCs/>
          <w:color w:val="auto"/>
          <w:sz w:val="28"/>
          <w:szCs w:val="28"/>
        </w:rPr>
        <w:t>①</w:t>
      </w:r>
      <w:r>
        <w:rPr>
          <w:rFonts w:hint="eastAsia" w:asciiTheme="minorEastAsia" w:hAnsiTheme="minorEastAsia" w:eastAsiaTheme="minorEastAsia" w:cstheme="minorEastAsia"/>
          <w:b w:val="0"/>
          <w:bCs/>
          <w:color w:val="auto"/>
          <w:sz w:val="28"/>
          <w:szCs w:val="28"/>
          <w:lang w:eastAsia="zh-CN"/>
        </w:rPr>
        <w:t>市场</w:t>
      </w:r>
      <w:r>
        <w:rPr>
          <w:rFonts w:hint="eastAsia" w:asciiTheme="minorEastAsia" w:hAnsiTheme="minorEastAsia" w:eastAsiaTheme="minorEastAsia" w:cstheme="minorEastAsia"/>
          <w:bCs/>
          <w:color w:val="auto"/>
          <w:sz w:val="28"/>
          <w:szCs w:val="28"/>
        </w:rPr>
        <w:t>计划加权价格：对应月份</w:t>
      </w:r>
      <w:r>
        <w:rPr>
          <w:rFonts w:hint="eastAsia" w:asciiTheme="minorEastAsia" w:hAnsiTheme="minorEastAsia" w:eastAsiaTheme="minorEastAsia" w:cstheme="minorEastAsia"/>
          <w:bCs/>
          <w:color w:val="auto"/>
          <w:sz w:val="28"/>
          <w:szCs w:val="28"/>
          <w:lang w:eastAsia="zh-CN"/>
        </w:rPr>
        <w:t>全体批发交易用户</w:t>
      </w:r>
      <w:r>
        <w:rPr>
          <w:rFonts w:hint="eastAsia" w:asciiTheme="minorEastAsia" w:hAnsiTheme="minorEastAsia" w:eastAsiaTheme="minorEastAsia" w:cstheme="minorEastAsia"/>
          <w:bCs/>
          <w:color w:val="auto"/>
          <w:sz w:val="28"/>
          <w:szCs w:val="28"/>
        </w:rPr>
        <w:t>各</w:t>
      </w:r>
      <w:r>
        <w:rPr>
          <w:rFonts w:hint="eastAsia" w:asciiTheme="minorEastAsia" w:hAnsiTheme="minorEastAsia" w:cstheme="minorEastAsia"/>
          <w:bCs/>
          <w:color w:val="auto"/>
          <w:sz w:val="28"/>
          <w:szCs w:val="28"/>
          <w:lang w:val="en-US" w:eastAsia="zh-CN"/>
        </w:rPr>
        <w:t>电能量</w:t>
      </w:r>
      <w:r>
        <w:rPr>
          <w:rFonts w:hint="eastAsia" w:asciiTheme="minorEastAsia" w:hAnsiTheme="minorEastAsia" w:eastAsiaTheme="minorEastAsia" w:cstheme="minorEastAsia"/>
          <w:bCs/>
          <w:color w:val="auto"/>
          <w:sz w:val="28"/>
          <w:szCs w:val="28"/>
        </w:rPr>
        <w:t>交易品种</w:t>
      </w:r>
      <w:r>
        <w:rPr>
          <w:rFonts w:hint="eastAsia" w:asciiTheme="minorEastAsia" w:hAnsiTheme="minorEastAsia" w:cstheme="minorEastAsia"/>
          <w:bCs/>
          <w:color w:val="auto"/>
          <w:sz w:val="28"/>
          <w:szCs w:val="28"/>
          <w:lang w:eastAsia="zh-CN"/>
        </w:rPr>
        <w:t>（不含绿色电力交易的环境溢价）</w:t>
      </w:r>
      <w:r>
        <w:rPr>
          <w:rFonts w:hint="eastAsia" w:asciiTheme="minorEastAsia" w:hAnsiTheme="minorEastAsia" w:eastAsiaTheme="minorEastAsia" w:cstheme="minorEastAsia"/>
          <w:bCs/>
          <w:color w:val="auto"/>
          <w:sz w:val="28"/>
          <w:szCs w:val="28"/>
        </w:rPr>
        <w:t>的</w:t>
      </w:r>
      <w:r>
        <w:rPr>
          <w:rFonts w:hint="eastAsia" w:asciiTheme="minorEastAsia" w:hAnsiTheme="minorEastAsia" w:cstheme="minorEastAsia"/>
          <w:bCs/>
          <w:color w:val="auto"/>
          <w:sz w:val="28"/>
          <w:szCs w:val="28"/>
          <w:lang w:val="en-US" w:eastAsia="zh-CN"/>
        </w:rPr>
        <w:t>交易</w:t>
      </w:r>
      <w:r>
        <w:rPr>
          <w:rFonts w:hint="eastAsia" w:asciiTheme="minorEastAsia" w:hAnsiTheme="minorEastAsia" w:eastAsiaTheme="minorEastAsia" w:cstheme="minorEastAsia"/>
          <w:bCs/>
          <w:color w:val="auto"/>
          <w:sz w:val="28"/>
          <w:szCs w:val="28"/>
        </w:rPr>
        <w:t>计划加权平均价格</w:t>
      </w:r>
      <w:r>
        <w:rPr>
          <w:rFonts w:hint="eastAsia" w:asciiTheme="minorEastAsia" w:hAnsiTheme="minorEastAsia" w:cstheme="minorEastAsia"/>
          <w:bCs/>
          <w:color w:val="auto"/>
          <w:sz w:val="28"/>
          <w:szCs w:val="28"/>
          <w:lang w:eastAsia="zh-CN"/>
        </w:rPr>
        <w:t>；</w:t>
      </w:r>
    </w:p>
    <w:p>
      <w:pPr>
        <w:adjustRightInd/>
        <w:snapToGrid/>
        <w:spacing w:line="240" w:lineRule="auto"/>
        <w:ind w:firstLine="570" w:firstLineChars="0"/>
        <w:rPr>
          <w:rFonts w:hint="eastAsia" w:asciiTheme="minorEastAsia" w:hAnsiTheme="minorEastAsia" w:eastAsiaTheme="minorEastAsia" w:cstheme="minorEastAsia"/>
          <w:bCs/>
          <w:color w:val="auto"/>
          <w:sz w:val="28"/>
          <w:szCs w:val="28"/>
          <w:lang w:eastAsia="zh-CN"/>
        </w:rPr>
      </w:pPr>
      <w:r>
        <w:rPr>
          <w:rFonts w:hint="eastAsia" w:asciiTheme="minorEastAsia" w:hAnsiTheme="minorEastAsia" w:eastAsiaTheme="minorEastAsia" w:cstheme="minorEastAsia"/>
          <w:bCs/>
          <w:color w:val="auto"/>
          <w:sz w:val="28"/>
          <w:szCs w:val="28"/>
          <w:lang w:val="en-US" w:eastAsia="zh-CN"/>
        </w:rPr>
        <w:t>②</w:t>
      </w:r>
      <w:r>
        <w:rPr>
          <w:rFonts w:hint="eastAsia" w:asciiTheme="minorEastAsia" w:hAnsiTheme="minorEastAsia" w:eastAsiaTheme="minorEastAsia" w:cstheme="minorEastAsia"/>
          <w:b w:val="0"/>
          <w:bCs/>
          <w:color w:val="auto"/>
          <w:sz w:val="28"/>
          <w:szCs w:val="28"/>
          <w:lang w:eastAsia="zh-CN"/>
        </w:rPr>
        <w:t>市场</w:t>
      </w:r>
      <w:r>
        <w:rPr>
          <w:rFonts w:hint="eastAsia" w:asciiTheme="minorEastAsia" w:hAnsiTheme="minorEastAsia" w:eastAsiaTheme="minorEastAsia" w:cstheme="minorEastAsia"/>
          <w:bCs/>
          <w:color w:val="auto"/>
          <w:sz w:val="28"/>
          <w:szCs w:val="28"/>
        </w:rPr>
        <w:t>月度集中</w:t>
      </w:r>
      <w:r>
        <w:rPr>
          <w:rFonts w:hint="eastAsia" w:asciiTheme="minorEastAsia" w:hAnsiTheme="minorEastAsia" w:eastAsiaTheme="minorEastAsia" w:cstheme="minorEastAsia"/>
          <w:bCs/>
          <w:color w:val="auto"/>
          <w:sz w:val="28"/>
          <w:szCs w:val="28"/>
          <w:lang w:eastAsia="zh-CN"/>
        </w:rPr>
        <w:t>交易</w:t>
      </w:r>
      <w:r>
        <w:rPr>
          <w:rFonts w:hint="eastAsia" w:asciiTheme="minorEastAsia" w:hAnsiTheme="minorEastAsia" w:eastAsiaTheme="minorEastAsia" w:cstheme="minorEastAsia"/>
          <w:bCs/>
          <w:color w:val="auto"/>
          <w:sz w:val="28"/>
          <w:szCs w:val="28"/>
        </w:rPr>
        <w:t>价格：对应月份</w:t>
      </w:r>
      <w:r>
        <w:rPr>
          <w:rFonts w:hint="eastAsia" w:asciiTheme="minorEastAsia" w:hAnsiTheme="minorEastAsia" w:eastAsiaTheme="minorEastAsia" w:cstheme="minorEastAsia"/>
          <w:bCs/>
          <w:color w:val="auto"/>
          <w:sz w:val="28"/>
          <w:szCs w:val="28"/>
          <w:lang w:eastAsia="zh-CN"/>
        </w:rPr>
        <w:t>全体批发交易</w:t>
      </w:r>
      <w:r>
        <w:rPr>
          <w:rFonts w:hint="eastAsia" w:asciiTheme="minorEastAsia" w:hAnsiTheme="minorEastAsia" w:eastAsiaTheme="minorEastAsia" w:cstheme="minorEastAsia"/>
          <w:bCs/>
          <w:color w:val="auto"/>
          <w:sz w:val="28"/>
          <w:szCs w:val="28"/>
        </w:rPr>
        <w:t>月度</w:t>
      </w:r>
      <w:r>
        <w:rPr>
          <w:rFonts w:hint="eastAsia" w:asciiTheme="minorEastAsia" w:hAnsiTheme="minorEastAsia" w:eastAsiaTheme="minorEastAsia" w:cstheme="minorEastAsia"/>
          <w:bCs/>
          <w:color w:val="auto"/>
          <w:sz w:val="28"/>
          <w:szCs w:val="28"/>
          <w:lang w:eastAsia="zh-CN"/>
        </w:rPr>
        <w:t>市场电量直接</w:t>
      </w:r>
      <w:r>
        <w:rPr>
          <w:rFonts w:hint="eastAsia" w:asciiTheme="minorEastAsia" w:hAnsiTheme="minorEastAsia" w:eastAsiaTheme="minorEastAsia" w:cstheme="minorEastAsia"/>
          <w:bCs/>
          <w:color w:val="auto"/>
          <w:sz w:val="28"/>
          <w:szCs w:val="28"/>
        </w:rPr>
        <w:t>交易（</w:t>
      </w:r>
      <w:r>
        <w:rPr>
          <w:rFonts w:hint="eastAsia" w:asciiTheme="minorEastAsia" w:hAnsiTheme="minorEastAsia" w:cstheme="minorEastAsia"/>
          <w:bCs/>
          <w:color w:val="auto"/>
          <w:sz w:val="28"/>
          <w:szCs w:val="28"/>
          <w:lang w:val="en-US" w:eastAsia="zh-CN"/>
        </w:rPr>
        <w:t>集中</w:t>
      </w:r>
      <w:r>
        <w:rPr>
          <w:rFonts w:hint="eastAsia" w:asciiTheme="minorEastAsia" w:hAnsiTheme="minorEastAsia" w:eastAsiaTheme="minorEastAsia" w:cstheme="minorEastAsia"/>
          <w:bCs/>
          <w:color w:val="auto"/>
          <w:sz w:val="28"/>
          <w:szCs w:val="28"/>
        </w:rPr>
        <w:t>交易）</w:t>
      </w:r>
      <w:r>
        <w:rPr>
          <w:rFonts w:hint="eastAsia" w:asciiTheme="minorEastAsia" w:hAnsiTheme="minorEastAsia" w:eastAsiaTheme="minorEastAsia" w:cstheme="minorEastAsia"/>
          <w:bCs/>
          <w:color w:val="auto"/>
          <w:sz w:val="28"/>
          <w:szCs w:val="28"/>
          <w:lang w:eastAsia="zh-CN"/>
        </w:rPr>
        <w:t>的加权平均价格；</w:t>
      </w:r>
    </w:p>
    <w:p>
      <w:pPr>
        <w:pStyle w:val="2"/>
        <w:rPr>
          <w:rFonts w:hint="eastAsia"/>
        </w:rPr>
      </w:pPr>
      <w:r>
        <w:rPr>
          <w:rFonts w:hint="eastAsia" w:asciiTheme="minorEastAsia" w:hAnsiTheme="minorEastAsia" w:eastAsiaTheme="minorEastAsia" w:cstheme="minorEastAsia"/>
          <w:bCs/>
          <w:color w:val="auto"/>
          <w:sz w:val="28"/>
          <w:szCs w:val="28"/>
          <w:lang w:val="en-US" w:eastAsia="zh-CN"/>
        </w:rPr>
        <w:t>③市场月度、月内集中交易价格：对应月份全体批发交易用户月度(集中交易)、月内市场电量直接交易(集中交易)的加权平均价格；</w:t>
      </w:r>
    </w:p>
    <w:p>
      <w:pPr>
        <w:adjustRightInd/>
        <w:snapToGrid/>
        <w:spacing w:line="240" w:lineRule="auto"/>
        <w:ind w:firstLine="570" w:firstLineChars="0"/>
        <w:rPr>
          <w:rFonts w:hint="eastAsia" w:asciiTheme="minorEastAsia" w:hAnsiTheme="minorEastAsia" w:eastAsiaTheme="minorEastAsia" w:cstheme="minorEastAsia"/>
          <w:bCs/>
          <w:color w:val="auto"/>
          <w:sz w:val="28"/>
          <w:szCs w:val="28"/>
        </w:rPr>
      </w:pPr>
      <w:r>
        <w:rPr>
          <w:rFonts w:hint="eastAsia" w:asciiTheme="minorEastAsia" w:hAnsiTheme="minorEastAsia" w:cstheme="minorEastAsia"/>
          <w:bCs/>
          <w:color w:val="auto"/>
          <w:sz w:val="28"/>
          <w:szCs w:val="28"/>
          <w:lang w:val="en-US" w:eastAsia="zh-CN"/>
        </w:rPr>
        <w:t>④</w:t>
      </w:r>
      <w:r>
        <w:rPr>
          <w:rFonts w:hint="eastAsia" w:asciiTheme="minorEastAsia" w:hAnsiTheme="minorEastAsia" w:eastAsiaTheme="minorEastAsia" w:cstheme="minorEastAsia"/>
          <w:bCs/>
          <w:color w:val="auto"/>
          <w:sz w:val="28"/>
          <w:szCs w:val="28"/>
          <w:lang w:eastAsia="zh-CN"/>
        </w:rPr>
        <w:t>年度市场电量</w:t>
      </w:r>
      <w:r>
        <w:rPr>
          <w:rFonts w:hint="eastAsia" w:asciiTheme="minorEastAsia" w:hAnsiTheme="minorEastAsia" w:eastAsiaTheme="minorEastAsia" w:cstheme="minorEastAsia"/>
          <w:bCs/>
          <w:color w:val="auto"/>
          <w:sz w:val="28"/>
          <w:szCs w:val="28"/>
        </w:rPr>
        <w:t>交易月度价格：对应月份</w:t>
      </w:r>
      <w:r>
        <w:rPr>
          <w:rFonts w:hint="eastAsia" w:asciiTheme="minorEastAsia" w:hAnsiTheme="minorEastAsia" w:eastAsiaTheme="minorEastAsia" w:cstheme="minorEastAsia"/>
          <w:bCs/>
          <w:color w:val="auto"/>
          <w:sz w:val="28"/>
          <w:szCs w:val="28"/>
          <w:lang w:eastAsia="zh-CN"/>
        </w:rPr>
        <w:t>全体批发交易用户年度市场电量</w:t>
      </w:r>
      <w:r>
        <w:rPr>
          <w:rFonts w:hint="eastAsia" w:asciiTheme="minorEastAsia" w:hAnsiTheme="minorEastAsia" w:eastAsiaTheme="minorEastAsia" w:cstheme="minorEastAsia"/>
          <w:bCs/>
          <w:color w:val="auto"/>
          <w:sz w:val="28"/>
          <w:szCs w:val="28"/>
          <w:lang w:val="en-US" w:eastAsia="zh-CN"/>
        </w:rPr>
        <w:t>交易</w:t>
      </w:r>
      <w:r>
        <w:rPr>
          <w:rFonts w:hint="eastAsia" w:asciiTheme="minorEastAsia" w:hAnsiTheme="minorEastAsia" w:eastAsiaTheme="minorEastAsia" w:cstheme="minorEastAsia"/>
          <w:bCs/>
          <w:color w:val="auto"/>
          <w:sz w:val="28"/>
          <w:szCs w:val="28"/>
        </w:rPr>
        <w:t>月度分解计划的加权</w:t>
      </w:r>
      <w:r>
        <w:rPr>
          <w:rFonts w:hint="eastAsia" w:asciiTheme="minorEastAsia" w:hAnsiTheme="minorEastAsia" w:cstheme="minorEastAsia"/>
          <w:bCs/>
          <w:color w:val="auto"/>
          <w:sz w:val="28"/>
          <w:szCs w:val="28"/>
          <w:lang w:val="en-US" w:eastAsia="zh-CN"/>
        </w:rPr>
        <w:t>平均</w:t>
      </w:r>
      <w:r>
        <w:rPr>
          <w:rFonts w:hint="eastAsia" w:asciiTheme="minorEastAsia" w:hAnsiTheme="minorEastAsia" w:eastAsiaTheme="minorEastAsia" w:cstheme="minorEastAsia"/>
          <w:bCs/>
          <w:color w:val="auto"/>
          <w:sz w:val="28"/>
          <w:szCs w:val="28"/>
        </w:rPr>
        <w:t>价格</w:t>
      </w:r>
      <w:r>
        <w:rPr>
          <w:rFonts w:hint="eastAsia" w:asciiTheme="minorEastAsia" w:hAnsiTheme="minorEastAsia" w:eastAsiaTheme="minorEastAsia" w:cstheme="minorEastAsia"/>
          <w:bCs/>
          <w:color w:val="auto"/>
          <w:sz w:val="28"/>
          <w:szCs w:val="28"/>
          <w:lang w:eastAsia="zh-CN"/>
        </w:rPr>
        <w:t>；</w:t>
      </w:r>
    </w:p>
    <w:p>
      <w:pPr>
        <w:adjustRightInd/>
        <w:snapToGrid/>
        <w:spacing w:line="240" w:lineRule="auto"/>
        <w:ind w:firstLine="570" w:firstLineChars="0"/>
        <w:rPr>
          <w:rFonts w:hint="eastAsia" w:asciiTheme="minorEastAsia" w:hAnsiTheme="minorEastAsia" w:eastAsiaTheme="minorEastAsia" w:cstheme="minorEastAsia"/>
          <w:bCs/>
          <w:color w:val="auto"/>
          <w:sz w:val="28"/>
          <w:szCs w:val="28"/>
          <w:lang w:eastAsia="zh-CN"/>
        </w:rPr>
      </w:pPr>
      <w:r>
        <w:rPr>
          <w:rFonts w:hint="eastAsia" w:asciiTheme="minorEastAsia" w:hAnsiTheme="minorEastAsia" w:eastAsiaTheme="minorEastAsia" w:cstheme="minorEastAsia"/>
          <w:bCs/>
          <w:color w:val="auto"/>
          <w:sz w:val="28"/>
          <w:szCs w:val="28"/>
          <w:lang w:val="en-US" w:eastAsia="zh-CN"/>
        </w:rPr>
        <w:t>⑤市场</w:t>
      </w:r>
      <w:r>
        <w:rPr>
          <w:rFonts w:hint="eastAsia" w:asciiTheme="minorEastAsia" w:hAnsiTheme="minorEastAsia" w:eastAsiaTheme="minorEastAsia" w:cstheme="minorEastAsia"/>
          <w:bCs/>
          <w:color w:val="auto"/>
          <w:sz w:val="28"/>
          <w:szCs w:val="28"/>
        </w:rPr>
        <w:t>月度批发结算价格：对应月份</w:t>
      </w:r>
      <w:r>
        <w:rPr>
          <w:rFonts w:hint="eastAsia" w:asciiTheme="minorEastAsia" w:hAnsiTheme="minorEastAsia" w:eastAsiaTheme="minorEastAsia" w:cstheme="minorEastAsia"/>
          <w:bCs/>
          <w:color w:val="auto"/>
          <w:sz w:val="28"/>
          <w:szCs w:val="28"/>
          <w:lang w:val="en-US" w:eastAsia="zh-CN"/>
        </w:rPr>
        <w:t>全</w:t>
      </w:r>
      <w:r>
        <w:rPr>
          <w:rFonts w:hint="eastAsia" w:asciiTheme="minorEastAsia" w:hAnsiTheme="minorEastAsia" w:eastAsiaTheme="minorEastAsia" w:cstheme="minorEastAsia"/>
          <w:bCs/>
          <w:color w:val="auto"/>
          <w:sz w:val="28"/>
          <w:szCs w:val="28"/>
          <w:lang w:eastAsia="zh-CN"/>
        </w:rPr>
        <w:t>体批发交易用户</w:t>
      </w:r>
      <w:r>
        <w:rPr>
          <w:rFonts w:hint="eastAsia" w:asciiTheme="minorEastAsia" w:hAnsiTheme="minorEastAsia" w:eastAsiaTheme="minorEastAsia" w:cstheme="minorEastAsia"/>
          <w:bCs/>
          <w:color w:val="auto"/>
          <w:sz w:val="28"/>
          <w:szCs w:val="28"/>
        </w:rPr>
        <w:t>各</w:t>
      </w:r>
      <w:r>
        <w:rPr>
          <w:rFonts w:hint="eastAsia" w:asciiTheme="minorEastAsia" w:hAnsiTheme="minorEastAsia" w:eastAsiaTheme="minorEastAsia" w:cstheme="minorEastAsia"/>
          <w:bCs/>
          <w:color w:val="auto"/>
          <w:sz w:val="28"/>
          <w:szCs w:val="28"/>
          <w:lang w:eastAsia="zh-CN"/>
        </w:rPr>
        <w:t>电能量</w:t>
      </w:r>
      <w:r>
        <w:rPr>
          <w:rFonts w:hint="eastAsia" w:asciiTheme="minorEastAsia" w:hAnsiTheme="minorEastAsia" w:eastAsiaTheme="minorEastAsia" w:cstheme="minorEastAsia"/>
          <w:bCs/>
          <w:color w:val="auto"/>
          <w:sz w:val="28"/>
          <w:szCs w:val="28"/>
        </w:rPr>
        <w:t>交易品种</w:t>
      </w:r>
      <w:r>
        <w:rPr>
          <w:rFonts w:hint="eastAsia" w:asciiTheme="minorEastAsia" w:hAnsiTheme="minorEastAsia" w:eastAsiaTheme="minorEastAsia" w:cstheme="minorEastAsia"/>
          <w:bCs/>
          <w:color w:val="auto"/>
          <w:sz w:val="28"/>
          <w:szCs w:val="28"/>
          <w:lang w:eastAsia="zh-CN"/>
        </w:rPr>
        <w:t>全月合同电量（不含绿色电力交易的环境溢价）、</w:t>
      </w:r>
      <w:r>
        <w:rPr>
          <w:rFonts w:hint="eastAsia" w:asciiTheme="minorEastAsia" w:hAnsiTheme="minorEastAsia" w:eastAsiaTheme="minorEastAsia" w:cstheme="minorEastAsia"/>
          <w:bCs/>
          <w:color w:val="auto"/>
          <w:sz w:val="28"/>
          <w:szCs w:val="28"/>
          <w:lang w:val="en-US" w:eastAsia="zh-CN"/>
        </w:rPr>
        <w:t>非现货运行期间</w:t>
      </w:r>
      <w:r>
        <w:rPr>
          <w:rFonts w:hint="eastAsia" w:asciiTheme="minorEastAsia" w:hAnsiTheme="minorEastAsia" w:eastAsiaTheme="minorEastAsia" w:cstheme="minorEastAsia"/>
          <w:bCs/>
          <w:color w:val="auto"/>
          <w:sz w:val="28"/>
          <w:szCs w:val="28"/>
          <w:lang w:eastAsia="zh-CN"/>
        </w:rPr>
        <w:t>偏差电量、现货运行期间日前偏差电量与实时偏差电量</w:t>
      </w:r>
      <w:r>
        <w:rPr>
          <w:rFonts w:hint="eastAsia" w:asciiTheme="minorEastAsia" w:hAnsiTheme="minorEastAsia" w:eastAsiaTheme="minorEastAsia" w:cstheme="minorEastAsia"/>
          <w:bCs/>
          <w:color w:val="auto"/>
          <w:sz w:val="28"/>
          <w:szCs w:val="28"/>
        </w:rPr>
        <w:t>的加权平均</w:t>
      </w:r>
      <w:r>
        <w:rPr>
          <w:rFonts w:hint="eastAsia" w:asciiTheme="minorEastAsia" w:hAnsiTheme="minorEastAsia" w:eastAsiaTheme="minorEastAsia" w:cstheme="minorEastAsia"/>
          <w:bCs/>
          <w:color w:val="auto"/>
          <w:sz w:val="28"/>
          <w:szCs w:val="28"/>
          <w:lang w:eastAsia="zh-CN"/>
        </w:rPr>
        <w:t>结算</w:t>
      </w:r>
      <w:r>
        <w:rPr>
          <w:rFonts w:hint="eastAsia" w:asciiTheme="minorEastAsia" w:hAnsiTheme="minorEastAsia" w:eastAsiaTheme="minorEastAsia" w:cstheme="minorEastAsia"/>
          <w:bCs/>
          <w:color w:val="auto"/>
          <w:sz w:val="28"/>
          <w:szCs w:val="28"/>
        </w:rPr>
        <w:t>价格</w:t>
      </w:r>
      <w:r>
        <w:rPr>
          <w:rFonts w:hint="eastAsia" w:asciiTheme="minorEastAsia" w:hAnsiTheme="minorEastAsia" w:eastAsiaTheme="minorEastAsia" w:cstheme="minorEastAsia"/>
          <w:bCs/>
          <w:color w:val="auto"/>
          <w:sz w:val="28"/>
          <w:szCs w:val="28"/>
          <w:lang w:eastAsia="zh-CN"/>
        </w:rPr>
        <w:t>。</w:t>
      </w:r>
    </w:p>
    <w:p>
      <w:pPr>
        <w:pStyle w:val="2"/>
        <w:ind w:firstLine="560" w:firstLineChars="0"/>
        <w:rPr>
          <w:rFonts w:hint="eastAsia" w:asciiTheme="minorEastAsia" w:hAnsiTheme="minorEastAsia" w:eastAsiaTheme="minorEastAsia" w:cstheme="minorEastAsia"/>
          <w:bCs/>
          <w:color w:val="auto"/>
          <w:sz w:val="28"/>
          <w:szCs w:val="28"/>
          <w:lang w:eastAsia="zh-CN"/>
        </w:rPr>
      </w:pPr>
      <w:r>
        <w:rPr>
          <w:rFonts w:hint="eastAsia" w:asciiTheme="minorEastAsia" w:hAnsiTheme="minorEastAsia" w:eastAsiaTheme="minorEastAsia" w:cstheme="minorEastAsia"/>
          <w:bCs/>
          <w:color w:val="auto"/>
          <w:sz w:val="28"/>
          <w:szCs w:val="28"/>
          <w:lang w:val="en-US" w:eastAsia="zh-CN"/>
        </w:rPr>
        <w:t>⑥</w:t>
      </w:r>
      <w:r>
        <w:rPr>
          <w:rFonts w:hint="eastAsia" w:asciiTheme="minorEastAsia" w:hAnsiTheme="minorEastAsia" w:eastAsiaTheme="minorEastAsia" w:cstheme="minorEastAsia"/>
          <w:bCs/>
          <w:color w:val="auto"/>
          <w:sz w:val="28"/>
          <w:szCs w:val="28"/>
          <w:lang w:eastAsia="zh-CN"/>
        </w:rPr>
        <w:t>现货</w:t>
      </w:r>
      <w:r>
        <w:rPr>
          <w:rFonts w:hint="eastAsia" w:asciiTheme="minorEastAsia" w:hAnsiTheme="minorEastAsia" w:eastAsiaTheme="minorEastAsia" w:cstheme="minorEastAsia"/>
          <w:bCs/>
          <w:color w:val="auto"/>
          <w:sz w:val="28"/>
          <w:szCs w:val="28"/>
        </w:rPr>
        <w:t>市场加权平均价格：对应当月现货结算运行（含试运行）期间</w:t>
      </w:r>
      <w:r>
        <w:rPr>
          <w:rFonts w:hint="eastAsia" w:asciiTheme="minorEastAsia" w:hAnsiTheme="minorEastAsia" w:eastAsiaTheme="minorEastAsia" w:cstheme="minorEastAsia"/>
          <w:bCs/>
          <w:color w:val="auto"/>
          <w:sz w:val="28"/>
          <w:szCs w:val="28"/>
          <w:lang w:eastAsia="zh-CN"/>
        </w:rPr>
        <w:t>统一结算点的日前均价和实时均价的算术平均值。</w:t>
      </w:r>
    </w:p>
    <w:p>
      <w:pPr>
        <w:pStyle w:val="2"/>
        <w:ind w:firstLine="560" w:firstLineChars="0"/>
        <w:rPr>
          <w:rFonts w:hint="eastAsia" w:asciiTheme="minorEastAsia" w:hAnsiTheme="minorEastAsia" w:cstheme="minorEastAsia"/>
          <w:bCs/>
          <w:color w:val="auto"/>
          <w:sz w:val="28"/>
          <w:szCs w:val="28"/>
        </w:rPr>
      </w:pPr>
      <w:r>
        <w:rPr>
          <w:rFonts w:hint="eastAsia" w:asciiTheme="minorEastAsia" w:hAnsiTheme="minorEastAsia" w:eastAsiaTheme="minorEastAsia" w:cstheme="minorEastAsia"/>
          <w:bCs/>
          <w:color w:val="auto"/>
          <w:sz w:val="28"/>
          <w:szCs w:val="28"/>
          <w:lang w:eastAsia="zh-CN"/>
        </w:rPr>
        <w:t>其中：日前均价为</w:t>
      </w:r>
      <w:r>
        <w:rPr>
          <w:rFonts w:hint="eastAsia" w:asciiTheme="minorEastAsia" w:hAnsiTheme="minorEastAsia" w:eastAsiaTheme="minorEastAsia" w:cstheme="minorEastAsia"/>
          <w:bCs/>
          <w:color w:val="auto"/>
          <w:sz w:val="28"/>
          <w:szCs w:val="28"/>
        </w:rPr>
        <w:t>各小时的统一结算点</w:t>
      </w:r>
      <w:r>
        <w:rPr>
          <w:rFonts w:hint="eastAsia" w:asciiTheme="minorEastAsia" w:hAnsiTheme="minorEastAsia" w:eastAsiaTheme="minorEastAsia" w:cstheme="minorEastAsia"/>
          <w:bCs/>
          <w:color w:val="auto"/>
          <w:sz w:val="28"/>
          <w:szCs w:val="28"/>
          <w:lang w:eastAsia="zh-CN"/>
        </w:rPr>
        <w:t>日前</w:t>
      </w:r>
      <w:r>
        <w:rPr>
          <w:rFonts w:hint="eastAsia" w:asciiTheme="minorEastAsia" w:hAnsiTheme="minorEastAsia" w:eastAsiaTheme="minorEastAsia" w:cstheme="minorEastAsia"/>
          <w:bCs/>
          <w:color w:val="auto"/>
          <w:sz w:val="28"/>
          <w:szCs w:val="28"/>
        </w:rPr>
        <w:t>电价和批发交易用户</w:t>
      </w:r>
      <w:r>
        <w:rPr>
          <w:rFonts w:hint="eastAsia" w:asciiTheme="minorEastAsia" w:hAnsiTheme="minorEastAsia" w:eastAsiaTheme="minorEastAsia" w:cstheme="minorEastAsia"/>
          <w:bCs/>
          <w:color w:val="auto"/>
          <w:sz w:val="28"/>
          <w:szCs w:val="28"/>
          <w:lang w:eastAsia="zh-CN"/>
        </w:rPr>
        <w:t>日前申报</w:t>
      </w:r>
      <w:r>
        <w:rPr>
          <w:rFonts w:hint="eastAsia" w:asciiTheme="minorEastAsia" w:hAnsiTheme="minorEastAsia" w:eastAsiaTheme="minorEastAsia" w:cstheme="minorEastAsia"/>
          <w:bCs/>
          <w:color w:val="auto"/>
          <w:sz w:val="28"/>
          <w:szCs w:val="28"/>
        </w:rPr>
        <w:t>总电量的加权平均价格</w:t>
      </w:r>
      <w:r>
        <w:rPr>
          <w:rFonts w:hint="eastAsia" w:asciiTheme="minorEastAsia" w:hAnsiTheme="minorEastAsia" w:eastAsiaTheme="minorEastAsia" w:cstheme="minorEastAsia"/>
          <w:bCs/>
          <w:color w:val="auto"/>
          <w:sz w:val="28"/>
          <w:szCs w:val="28"/>
          <w:lang w:eastAsia="zh-CN"/>
        </w:rPr>
        <w:t>；实时均价为</w:t>
      </w:r>
      <w:r>
        <w:rPr>
          <w:rFonts w:hint="eastAsia" w:asciiTheme="minorEastAsia" w:hAnsiTheme="minorEastAsia" w:eastAsiaTheme="minorEastAsia" w:cstheme="minorEastAsia"/>
          <w:bCs/>
          <w:color w:val="auto"/>
          <w:sz w:val="28"/>
          <w:szCs w:val="28"/>
        </w:rPr>
        <w:t>各小时的统一结算点</w:t>
      </w:r>
      <w:r>
        <w:rPr>
          <w:rFonts w:hint="eastAsia" w:asciiTheme="minorEastAsia" w:hAnsiTheme="minorEastAsia" w:eastAsiaTheme="minorEastAsia" w:cstheme="minorEastAsia"/>
          <w:bCs/>
          <w:color w:val="auto"/>
          <w:sz w:val="28"/>
          <w:szCs w:val="28"/>
          <w:lang w:eastAsia="zh-CN"/>
        </w:rPr>
        <w:t>实时</w:t>
      </w:r>
      <w:r>
        <w:rPr>
          <w:rFonts w:hint="eastAsia" w:asciiTheme="minorEastAsia" w:hAnsiTheme="minorEastAsia" w:eastAsiaTheme="minorEastAsia" w:cstheme="minorEastAsia"/>
          <w:bCs/>
          <w:color w:val="auto"/>
          <w:sz w:val="28"/>
          <w:szCs w:val="28"/>
        </w:rPr>
        <w:t>电价和批发交易用户</w:t>
      </w:r>
      <w:r>
        <w:rPr>
          <w:rFonts w:hint="eastAsia" w:asciiTheme="minorEastAsia" w:hAnsiTheme="minorEastAsia" w:eastAsiaTheme="minorEastAsia" w:cstheme="minorEastAsia"/>
          <w:bCs/>
          <w:color w:val="auto"/>
          <w:sz w:val="28"/>
          <w:szCs w:val="28"/>
          <w:lang w:eastAsia="zh-CN"/>
        </w:rPr>
        <w:t>市场总</w:t>
      </w:r>
      <w:r>
        <w:rPr>
          <w:rFonts w:hint="eastAsia" w:asciiTheme="minorEastAsia" w:hAnsiTheme="minorEastAsia" w:eastAsiaTheme="minorEastAsia" w:cstheme="minorEastAsia"/>
          <w:bCs/>
          <w:color w:val="auto"/>
          <w:sz w:val="28"/>
          <w:szCs w:val="28"/>
        </w:rPr>
        <w:t>电量的加权平均价格。</w:t>
      </w:r>
    </w:p>
    <w:p>
      <w:pPr>
        <w:ind w:firstLine="570"/>
        <w:jc w:val="left"/>
        <w:rPr>
          <w:rFonts w:ascii="Times New Roman" w:hAnsi="Times New Roman"/>
          <w:color w:val="auto"/>
          <w:sz w:val="28"/>
          <w:szCs w:val="28"/>
        </w:rPr>
      </w:pPr>
      <w:r>
        <w:rPr>
          <w:rFonts w:hint="eastAsia" w:ascii="Times New Roman" w:hAnsi="Times New Roman"/>
          <w:color w:val="auto"/>
          <w:sz w:val="28"/>
          <w:szCs w:val="28"/>
        </w:rPr>
        <w:t>具体如下：</w:t>
      </w:r>
    </w:p>
    <w:p>
      <w:pPr>
        <w:numPr>
          <w:ilvl w:val="-1"/>
          <w:numId w:val="0"/>
        </w:numPr>
        <w:spacing w:line="240" w:lineRule="auto"/>
        <w:ind w:left="0" w:leftChars="0" w:firstLine="570" w:firstLineChars="0"/>
        <w:rPr>
          <w:rFonts w:hint="eastAsia" w:asciiTheme="minorEastAsia" w:hAnsiTheme="minorEastAsia" w:eastAsiaTheme="minorEastAsia" w:cstheme="minorEastAsia"/>
          <w:bCs/>
          <w:color w:val="auto"/>
          <w:sz w:val="28"/>
          <w:szCs w:val="28"/>
        </w:rPr>
      </w:pPr>
      <w:r>
        <w:rPr>
          <w:rFonts w:hint="eastAsia" w:asciiTheme="minorEastAsia" w:hAnsiTheme="minorEastAsia" w:cstheme="minorEastAsia"/>
          <w:b/>
          <w:bCs w:val="0"/>
          <w:color w:val="auto"/>
          <w:sz w:val="28"/>
          <w:szCs w:val="28"/>
          <w:lang w:val="en-US" w:eastAsia="zh-CN"/>
        </w:rPr>
        <w:t>非现货期间：</w:t>
      </w:r>
      <w:r>
        <w:rPr>
          <w:rFonts w:hint="eastAsia" w:asciiTheme="minorEastAsia" w:hAnsiTheme="minorEastAsia" w:eastAsiaTheme="minorEastAsia" w:cstheme="minorEastAsia"/>
          <w:bCs/>
          <w:color w:val="auto"/>
          <w:sz w:val="28"/>
          <w:szCs w:val="28"/>
        </w:rPr>
        <w:t>双方约定</w:t>
      </w:r>
      <w:r>
        <w:rPr>
          <w:rFonts w:hint="eastAsia" w:asciiTheme="minorEastAsia" w:hAnsiTheme="minorEastAsia" w:eastAsiaTheme="minorEastAsia" w:cstheme="minorEastAsia"/>
          <w:bCs/>
          <w:color w:val="auto"/>
          <w:kern w:val="2"/>
          <w:sz w:val="28"/>
          <w:szCs w:val="28"/>
          <w:lang w:bidi="ar-SA"/>
        </w:rPr>
        <w:t>固定价格</w:t>
      </w:r>
      <w:r>
        <w:rPr>
          <w:rFonts w:hint="eastAsia" w:asciiTheme="minorEastAsia" w:hAnsiTheme="minorEastAsia" w:eastAsiaTheme="minorEastAsia" w:cstheme="minorEastAsia"/>
          <w:bCs/>
          <w:color w:val="auto"/>
          <w:sz w:val="28"/>
          <w:szCs w:val="28"/>
        </w:rPr>
        <w:t>为</w:t>
      </w:r>
      <w:r>
        <w:rPr>
          <w:rFonts w:hint="eastAsia" w:asciiTheme="minorEastAsia" w:hAnsiTheme="minorEastAsia" w:eastAsiaTheme="minorEastAsia" w:cstheme="minorEastAsia"/>
          <w:bCs/>
          <w:color w:val="auto"/>
          <w:sz w:val="28"/>
          <w:szCs w:val="28"/>
          <w:u w:val="single"/>
        </w:rPr>
        <w:t xml:space="preserve">    </w:t>
      </w:r>
      <w:r>
        <w:rPr>
          <w:rFonts w:hint="eastAsia" w:asciiTheme="minorEastAsia" w:hAnsiTheme="minorEastAsia" w:eastAsiaTheme="minorEastAsia" w:cstheme="minorEastAsia"/>
          <w:bCs/>
          <w:color w:val="auto"/>
          <w:sz w:val="28"/>
          <w:szCs w:val="28"/>
        </w:rPr>
        <w:t>（单位：元/兆瓦时）</w:t>
      </w:r>
      <w:r>
        <w:rPr>
          <w:rFonts w:hint="eastAsia" w:asciiTheme="minorEastAsia" w:hAnsiTheme="minorEastAsia" w:eastAsiaTheme="minorEastAsia" w:cstheme="minorEastAsia"/>
          <w:bCs/>
          <w:color w:val="auto"/>
          <w:sz w:val="28"/>
          <w:szCs w:val="28"/>
          <w:lang w:eastAsia="zh-CN"/>
        </w:rPr>
        <w:t>，</w:t>
      </w:r>
      <w:r>
        <w:rPr>
          <w:rFonts w:hint="eastAsia" w:asciiTheme="minorEastAsia" w:hAnsiTheme="minorEastAsia" w:eastAsiaTheme="minorEastAsia" w:cstheme="minorEastAsia"/>
          <w:b w:val="0"/>
          <w:bCs/>
          <w:color w:val="auto"/>
          <w:kern w:val="2"/>
          <w:position w:val="0"/>
          <w:sz w:val="28"/>
          <w:szCs w:val="28"/>
          <w:lang w:val="en-US" w:eastAsia="zh-CN" w:bidi="ar-SA"/>
        </w:rPr>
        <w:t>联动价格为</w:t>
      </w:r>
      <w:r>
        <w:rPr>
          <w:rFonts w:hint="eastAsia" w:asciiTheme="minorEastAsia" w:hAnsiTheme="minorEastAsia" w:eastAsiaTheme="minorEastAsia" w:cstheme="minorEastAsia"/>
          <w:b w:val="0"/>
          <w:bCs/>
          <w:color w:val="auto"/>
          <w:kern w:val="2"/>
          <w:position w:val="0"/>
          <w:sz w:val="28"/>
          <w:szCs w:val="28"/>
          <w:u w:val="single"/>
          <w:lang w:val="en-US" w:eastAsia="zh-CN" w:bidi="ar-SA"/>
        </w:rPr>
        <w:t xml:space="preserve">     </w:t>
      </w:r>
      <w:r>
        <w:rPr>
          <w:rFonts w:hint="eastAsia" w:asciiTheme="minorEastAsia" w:hAnsiTheme="minorEastAsia" w:cstheme="minorEastAsia"/>
          <w:bCs/>
          <w:color w:val="auto"/>
          <w:sz w:val="28"/>
          <w:szCs w:val="28"/>
        </w:rPr>
        <w:t>（单位：元/兆瓦时）</w:t>
      </w:r>
      <w:r>
        <w:rPr>
          <w:rFonts w:hint="eastAsia" w:asciiTheme="minorEastAsia" w:hAnsiTheme="minorEastAsia" w:eastAsiaTheme="minorEastAsia" w:cstheme="minorEastAsia"/>
          <w:bCs/>
          <w:color w:val="auto"/>
          <w:sz w:val="28"/>
          <w:szCs w:val="28"/>
        </w:rPr>
        <w:t>（可填写“市场计划加权价格”、“市场月度集中交易价格”、</w:t>
      </w:r>
      <w:r>
        <w:rPr>
          <w:rFonts w:hint="eastAsia" w:asciiTheme="minorEastAsia" w:hAnsiTheme="minorEastAsia" w:cstheme="minorEastAsia"/>
          <w:bCs/>
          <w:color w:val="auto"/>
          <w:sz w:val="28"/>
          <w:szCs w:val="28"/>
          <w:lang w:eastAsia="zh-CN"/>
        </w:rPr>
        <w:t>“</w:t>
      </w:r>
      <w:r>
        <w:rPr>
          <w:rFonts w:hint="eastAsia" w:asciiTheme="minorEastAsia" w:hAnsiTheme="minorEastAsia" w:eastAsiaTheme="minorEastAsia" w:cstheme="minorEastAsia"/>
          <w:bCs/>
          <w:color w:val="auto"/>
          <w:sz w:val="28"/>
          <w:szCs w:val="28"/>
        </w:rPr>
        <w:t>市场月度</w:t>
      </w:r>
      <w:r>
        <w:rPr>
          <w:rFonts w:hint="eastAsia" w:asciiTheme="minorEastAsia" w:hAnsiTheme="minorEastAsia" w:eastAsiaTheme="minorEastAsia" w:cstheme="minorEastAsia"/>
          <w:bCs/>
          <w:color w:val="auto"/>
          <w:sz w:val="28"/>
          <w:szCs w:val="28"/>
          <w:lang w:eastAsia="zh-CN"/>
        </w:rPr>
        <w:t>、月内</w:t>
      </w:r>
      <w:r>
        <w:rPr>
          <w:rFonts w:hint="eastAsia" w:asciiTheme="minorEastAsia" w:hAnsiTheme="minorEastAsia" w:eastAsiaTheme="minorEastAsia" w:cstheme="minorEastAsia"/>
          <w:bCs/>
          <w:color w:val="auto"/>
          <w:sz w:val="28"/>
          <w:szCs w:val="28"/>
        </w:rPr>
        <w:t>集中交易价格</w:t>
      </w:r>
      <w:r>
        <w:rPr>
          <w:rFonts w:hint="eastAsia" w:asciiTheme="minorEastAsia" w:hAnsiTheme="minorEastAsia" w:cstheme="minorEastAsia"/>
          <w:bCs/>
          <w:color w:val="auto"/>
          <w:sz w:val="28"/>
          <w:szCs w:val="28"/>
          <w:lang w:eastAsia="zh-CN"/>
        </w:rPr>
        <w:t>”、</w:t>
      </w:r>
      <w:r>
        <w:rPr>
          <w:rFonts w:hint="eastAsia" w:asciiTheme="minorEastAsia" w:hAnsiTheme="minorEastAsia" w:eastAsiaTheme="minorEastAsia" w:cstheme="minorEastAsia"/>
          <w:bCs/>
          <w:color w:val="auto"/>
          <w:sz w:val="28"/>
          <w:szCs w:val="28"/>
        </w:rPr>
        <w:t>“年度市场电量交易月度价格”、“</w:t>
      </w:r>
      <w:r>
        <w:rPr>
          <w:rFonts w:hint="eastAsia" w:asciiTheme="minorEastAsia" w:hAnsiTheme="minorEastAsia" w:eastAsiaTheme="minorEastAsia" w:cstheme="minorEastAsia"/>
          <w:bCs/>
          <w:color w:val="auto"/>
          <w:sz w:val="28"/>
          <w:szCs w:val="28"/>
          <w:lang w:val="en-US" w:eastAsia="zh-CN"/>
        </w:rPr>
        <w:t>市场</w:t>
      </w:r>
      <w:r>
        <w:rPr>
          <w:rFonts w:hint="eastAsia" w:asciiTheme="minorEastAsia" w:hAnsiTheme="minorEastAsia" w:eastAsiaTheme="minorEastAsia" w:cstheme="minorEastAsia"/>
          <w:bCs/>
          <w:color w:val="auto"/>
          <w:sz w:val="28"/>
          <w:szCs w:val="28"/>
        </w:rPr>
        <w:t>月度批发结算价格”</w:t>
      </w:r>
      <w:r>
        <w:rPr>
          <w:rFonts w:hint="eastAsia" w:asciiTheme="minorEastAsia" w:hAnsiTheme="minorEastAsia" w:cstheme="minorEastAsia"/>
          <w:bCs/>
          <w:color w:val="auto"/>
          <w:sz w:val="28"/>
          <w:szCs w:val="28"/>
          <w:lang w:eastAsia="zh-CN"/>
        </w:rPr>
        <w:t>、“</w:t>
      </w:r>
      <w:r>
        <w:rPr>
          <w:rFonts w:hint="eastAsia" w:hAnsi="仿宋_GB2312" w:cs="仿宋_GB2312"/>
          <w:sz w:val="28"/>
          <w:szCs w:val="28"/>
          <w:lang w:eastAsia="zh-CN"/>
        </w:rPr>
        <w:t>现货</w:t>
      </w:r>
      <w:r>
        <w:rPr>
          <w:rFonts w:hint="eastAsia" w:hAnsi="仿宋_GB2312" w:cs="仿宋_GB2312"/>
          <w:sz w:val="28"/>
          <w:szCs w:val="28"/>
        </w:rPr>
        <w:t>市场加权平均价格</w:t>
      </w:r>
      <w:r>
        <w:rPr>
          <w:rFonts w:hint="eastAsia" w:asciiTheme="minorEastAsia" w:hAnsiTheme="minorEastAsia" w:cstheme="minorEastAsia"/>
          <w:bCs/>
          <w:color w:val="auto"/>
          <w:sz w:val="28"/>
          <w:szCs w:val="28"/>
          <w:lang w:eastAsia="zh-CN"/>
        </w:rPr>
        <w:t>”</w:t>
      </w:r>
      <w:r>
        <w:rPr>
          <w:rFonts w:hint="eastAsia" w:asciiTheme="minorEastAsia" w:hAnsiTheme="minorEastAsia" w:eastAsiaTheme="minorEastAsia" w:cstheme="minorEastAsia"/>
          <w:bCs/>
          <w:color w:val="auto"/>
          <w:sz w:val="28"/>
          <w:szCs w:val="28"/>
        </w:rPr>
        <w:t>）</w:t>
      </w:r>
      <w:r>
        <w:rPr>
          <w:rFonts w:hint="eastAsia" w:asciiTheme="minorEastAsia" w:hAnsiTheme="minorEastAsia" w:eastAsiaTheme="minorEastAsia" w:cstheme="minorEastAsia"/>
          <w:bCs/>
          <w:color w:val="auto"/>
          <w:sz w:val="28"/>
          <w:szCs w:val="28"/>
          <w:lang w:eastAsia="zh-CN"/>
        </w:rPr>
        <w:t>，</w:t>
      </w:r>
      <w:r>
        <w:rPr>
          <w:rFonts w:hint="eastAsia" w:asciiTheme="minorEastAsia" w:hAnsiTheme="minorEastAsia" w:eastAsiaTheme="minorEastAsia" w:cstheme="minorEastAsia"/>
          <w:bCs/>
          <w:color w:val="auto"/>
          <w:sz w:val="28"/>
          <w:szCs w:val="28"/>
        </w:rPr>
        <w:t>固定价格比例为</w:t>
      </w:r>
      <w:r>
        <w:rPr>
          <w:rFonts w:hint="eastAsia" w:asciiTheme="minorEastAsia" w:hAnsiTheme="minorEastAsia" w:eastAsiaTheme="minorEastAsia" w:cstheme="minorEastAsia"/>
          <w:bCs/>
          <w:color w:val="auto"/>
          <w:sz w:val="28"/>
          <w:szCs w:val="28"/>
          <w:u w:val="single"/>
        </w:rPr>
        <w:t xml:space="preserve">     </w:t>
      </w:r>
      <w:r>
        <w:rPr>
          <w:rFonts w:hint="eastAsia" w:asciiTheme="minorEastAsia" w:hAnsiTheme="minorEastAsia" w:eastAsiaTheme="minorEastAsia" w:cstheme="minorEastAsia"/>
          <w:bCs/>
          <w:color w:val="auto"/>
          <w:sz w:val="28"/>
          <w:szCs w:val="28"/>
        </w:rPr>
        <w:t>%。</w:t>
      </w:r>
    </w:p>
    <w:p>
      <w:pPr>
        <w:numPr>
          <w:ilvl w:val="0"/>
          <w:numId w:val="0"/>
        </w:numPr>
        <w:ind w:firstLine="570" w:firstLineChars="0"/>
        <w:rPr>
          <w:rFonts w:hint="eastAsia" w:asciiTheme="minorEastAsia" w:hAnsiTheme="minorEastAsia" w:eastAsiaTheme="minorEastAsia" w:cstheme="minorEastAsia"/>
          <w:bCs/>
          <w:color w:val="auto"/>
          <w:sz w:val="28"/>
          <w:szCs w:val="28"/>
        </w:rPr>
      </w:pPr>
      <w:r>
        <w:rPr>
          <w:rFonts w:hint="eastAsia" w:asciiTheme="minorEastAsia" w:hAnsiTheme="minorEastAsia" w:cstheme="minorEastAsia"/>
          <w:b/>
          <w:bCs w:val="0"/>
          <w:color w:val="auto"/>
          <w:sz w:val="28"/>
          <w:szCs w:val="28"/>
          <w:lang w:val="en-US" w:eastAsia="zh-CN"/>
        </w:rPr>
        <w:t>现货期间：</w:t>
      </w:r>
      <w:r>
        <w:rPr>
          <w:rFonts w:hint="eastAsia" w:asciiTheme="minorEastAsia" w:hAnsiTheme="minorEastAsia" w:eastAsiaTheme="minorEastAsia" w:cstheme="minorEastAsia"/>
          <w:bCs/>
          <w:color w:val="auto"/>
          <w:sz w:val="28"/>
          <w:szCs w:val="28"/>
        </w:rPr>
        <w:t>双方约定</w:t>
      </w:r>
      <w:r>
        <w:rPr>
          <w:rFonts w:hint="eastAsia" w:asciiTheme="minorEastAsia" w:hAnsiTheme="minorEastAsia" w:eastAsiaTheme="minorEastAsia" w:cstheme="minorEastAsia"/>
          <w:bCs/>
          <w:color w:val="auto"/>
          <w:kern w:val="2"/>
          <w:sz w:val="28"/>
          <w:szCs w:val="28"/>
          <w:lang w:bidi="ar-SA"/>
        </w:rPr>
        <w:t>固定价格</w:t>
      </w:r>
      <w:r>
        <w:rPr>
          <w:rFonts w:hint="eastAsia" w:asciiTheme="minorEastAsia" w:hAnsiTheme="minorEastAsia" w:eastAsiaTheme="minorEastAsia" w:cstheme="minorEastAsia"/>
          <w:bCs/>
          <w:color w:val="auto"/>
          <w:sz w:val="28"/>
          <w:szCs w:val="28"/>
        </w:rPr>
        <w:t>为</w:t>
      </w:r>
      <w:r>
        <w:rPr>
          <w:rFonts w:hint="eastAsia" w:asciiTheme="minorEastAsia" w:hAnsiTheme="minorEastAsia" w:eastAsiaTheme="minorEastAsia" w:cstheme="minorEastAsia"/>
          <w:bCs/>
          <w:color w:val="auto"/>
          <w:sz w:val="28"/>
          <w:szCs w:val="28"/>
          <w:u w:val="single"/>
        </w:rPr>
        <w:t xml:space="preserve">    </w:t>
      </w:r>
      <w:r>
        <w:rPr>
          <w:rFonts w:hint="eastAsia" w:asciiTheme="minorEastAsia" w:hAnsiTheme="minorEastAsia" w:eastAsiaTheme="minorEastAsia" w:cstheme="minorEastAsia"/>
          <w:bCs/>
          <w:color w:val="auto"/>
          <w:sz w:val="28"/>
          <w:szCs w:val="28"/>
        </w:rPr>
        <w:t>（单位：元/兆瓦时）</w:t>
      </w:r>
      <w:r>
        <w:rPr>
          <w:rFonts w:hint="eastAsia" w:asciiTheme="minorEastAsia" w:hAnsiTheme="minorEastAsia" w:eastAsiaTheme="minorEastAsia" w:cstheme="minorEastAsia"/>
          <w:bCs/>
          <w:color w:val="auto"/>
          <w:sz w:val="28"/>
          <w:szCs w:val="28"/>
          <w:lang w:eastAsia="zh-CN"/>
        </w:rPr>
        <w:t>，</w:t>
      </w:r>
      <w:r>
        <w:rPr>
          <w:rFonts w:hint="eastAsia" w:asciiTheme="minorEastAsia" w:hAnsiTheme="minorEastAsia" w:eastAsiaTheme="minorEastAsia" w:cstheme="minorEastAsia"/>
          <w:b w:val="0"/>
          <w:bCs/>
          <w:color w:val="auto"/>
          <w:kern w:val="2"/>
          <w:position w:val="0"/>
          <w:sz w:val="28"/>
          <w:szCs w:val="28"/>
          <w:lang w:val="en-US" w:eastAsia="zh-CN" w:bidi="ar-SA"/>
        </w:rPr>
        <w:t>联动价格为</w:t>
      </w:r>
      <w:r>
        <w:rPr>
          <w:rFonts w:hint="eastAsia" w:asciiTheme="minorEastAsia" w:hAnsiTheme="minorEastAsia" w:eastAsiaTheme="minorEastAsia" w:cstheme="minorEastAsia"/>
          <w:b w:val="0"/>
          <w:bCs/>
          <w:color w:val="auto"/>
          <w:kern w:val="2"/>
          <w:position w:val="0"/>
          <w:sz w:val="28"/>
          <w:szCs w:val="28"/>
          <w:u w:val="single"/>
          <w:lang w:val="en-US" w:eastAsia="zh-CN" w:bidi="ar-SA"/>
        </w:rPr>
        <w:t xml:space="preserve">     </w:t>
      </w:r>
      <w:r>
        <w:rPr>
          <w:rFonts w:hint="eastAsia" w:asciiTheme="minorEastAsia" w:hAnsiTheme="minorEastAsia" w:cstheme="minorEastAsia"/>
          <w:bCs/>
          <w:color w:val="auto"/>
          <w:sz w:val="28"/>
          <w:szCs w:val="28"/>
        </w:rPr>
        <w:t>（单位：元/兆瓦时）</w:t>
      </w:r>
      <w:r>
        <w:rPr>
          <w:rFonts w:hint="eastAsia" w:asciiTheme="minorEastAsia" w:hAnsiTheme="minorEastAsia" w:eastAsiaTheme="minorEastAsia" w:cstheme="minorEastAsia"/>
          <w:bCs/>
          <w:color w:val="auto"/>
          <w:sz w:val="28"/>
          <w:szCs w:val="28"/>
        </w:rPr>
        <w:t>（可填写“市场计划加权价格”、“市场月度集中交易价格”、</w:t>
      </w:r>
      <w:r>
        <w:rPr>
          <w:rFonts w:hint="eastAsia" w:asciiTheme="minorEastAsia" w:hAnsiTheme="minorEastAsia" w:cstheme="minorEastAsia"/>
          <w:bCs/>
          <w:color w:val="auto"/>
          <w:sz w:val="28"/>
          <w:szCs w:val="28"/>
          <w:lang w:eastAsia="zh-CN"/>
        </w:rPr>
        <w:t>“</w:t>
      </w:r>
      <w:r>
        <w:rPr>
          <w:rFonts w:hint="eastAsia" w:asciiTheme="minorEastAsia" w:hAnsiTheme="minorEastAsia" w:eastAsiaTheme="minorEastAsia" w:cstheme="minorEastAsia"/>
          <w:bCs/>
          <w:color w:val="auto"/>
          <w:sz w:val="28"/>
          <w:szCs w:val="28"/>
        </w:rPr>
        <w:t>市场月度</w:t>
      </w:r>
      <w:r>
        <w:rPr>
          <w:rFonts w:hint="eastAsia" w:asciiTheme="minorEastAsia" w:hAnsiTheme="minorEastAsia" w:eastAsiaTheme="minorEastAsia" w:cstheme="minorEastAsia"/>
          <w:bCs/>
          <w:color w:val="auto"/>
          <w:sz w:val="28"/>
          <w:szCs w:val="28"/>
          <w:lang w:eastAsia="zh-CN"/>
        </w:rPr>
        <w:t>、月内</w:t>
      </w:r>
      <w:r>
        <w:rPr>
          <w:rFonts w:hint="eastAsia" w:asciiTheme="minorEastAsia" w:hAnsiTheme="minorEastAsia" w:eastAsiaTheme="minorEastAsia" w:cstheme="minorEastAsia"/>
          <w:bCs/>
          <w:color w:val="auto"/>
          <w:sz w:val="28"/>
          <w:szCs w:val="28"/>
        </w:rPr>
        <w:t>集中交易价格</w:t>
      </w:r>
      <w:r>
        <w:rPr>
          <w:rFonts w:hint="eastAsia" w:asciiTheme="minorEastAsia" w:hAnsiTheme="minorEastAsia" w:cstheme="minorEastAsia"/>
          <w:bCs/>
          <w:color w:val="auto"/>
          <w:sz w:val="28"/>
          <w:szCs w:val="28"/>
          <w:lang w:eastAsia="zh-CN"/>
        </w:rPr>
        <w:t>”、</w:t>
      </w:r>
      <w:r>
        <w:rPr>
          <w:rFonts w:hint="eastAsia" w:asciiTheme="minorEastAsia" w:hAnsiTheme="minorEastAsia" w:eastAsiaTheme="minorEastAsia" w:cstheme="minorEastAsia"/>
          <w:bCs/>
          <w:color w:val="auto"/>
          <w:sz w:val="28"/>
          <w:szCs w:val="28"/>
        </w:rPr>
        <w:t>“年度市场电量交易月度价格”、“</w:t>
      </w:r>
      <w:r>
        <w:rPr>
          <w:rFonts w:hint="eastAsia" w:asciiTheme="minorEastAsia" w:hAnsiTheme="minorEastAsia" w:eastAsiaTheme="minorEastAsia" w:cstheme="minorEastAsia"/>
          <w:bCs/>
          <w:color w:val="auto"/>
          <w:sz w:val="28"/>
          <w:szCs w:val="28"/>
          <w:lang w:val="en-US" w:eastAsia="zh-CN"/>
        </w:rPr>
        <w:t>市场</w:t>
      </w:r>
      <w:r>
        <w:rPr>
          <w:rFonts w:hint="eastAsia" w:asciiTheme="minorEastAsia" w:hAnsiTheme="minorEastAsia" w:eastAsiaTheme="minorEastAsia" w:cstheme="minorEastAsia"/>
          <w:bCs/>
          <w:color w:val="auto"/>
          <w:sz w:val="28"/>
          <w:szCs w:val="28"/>
        </w:rPr>
        <w:t>月度批发结算价格”</w:t>
      </w:r>
      <w:r>
        <w:rPr>
          <w:rFonts w:hint="eastAsia" w:asciiTheme="minorEastAsia" w:hAnsiTheme="minorEastAsia" w:cstheme="minorEastAsia"/>
          <w:bCs/>
          <w:color w:val="auto"/>
          <w:sz w:val="28"/>
          <w:szCs w:val="28"/>
          <w:lang w:eastAsia="zh-CN"/>
        </w:rPr>
        <w:t>、“</w:t>
      </w:r>
      <w:r>
        <w:rPr>
          <w:rFonts w:hint="eastAsia" w:hAnsi="仿宋_GB2312" w:cs="仿宋_GB2312"/>
          <w:sz w:val="28"/>
          <w:szCs w:val="28"/>
          <w:lang w:eastAsia="zh-CN"/>
        </w:rPr>
        <w:t>现货</w:t>
      </w:r>
      <w:r>
        <w:rPr>
          <w:rFonts w:hint="eastAsia" w:hAnsi="仿宋_GB2312" w:cs="仿宋_GB2312"/>
          <w:sz w:val="28"/>
          <w:szCs w:val="28"/>
        </w:rPr>
        <w:t>市场加权平均价格</w:t>
      </w:r>
      <w:r>
        <w:rPr>
          <w:rFonts w:hint="eastAsia" w:asciiTheme="minorEastAsia" w:hAnsiTheme="minorEastAsia" w:cstheme="minorEastAsia"/>
          <w:bCs/>
          <w:color w:val="auto"/>
          <w:sz w:val="28"/>
          <w:szCs w:val="28"/>
          <w:lang w:eastAsia="zh-CN"/>
        </w:rPr>
        <w:t>”</w:t>
      </w:r>
      <w:r>
        <w:rPr>
          <w:rFonts w:hint="eastAsia" w:asciiTheme="minorEastAsia" w:hAnsiTheme="minorEastAsia" w:eastAsiaTheme="minorEastAsia" w:cstheme="minorEastAsia"/>
          <w:bCs/>
          <w:color w:val="auto"/>
          <w:sz w:val="28"/>
          <w:szCs w:val="28"/>
        </w:rPr>
        <w:t>）</w:t>
      </w:r>
      <w:r>
        <w:rPr>
          <w:rFonts w:hint="eastAsia" w:asciiTheme="minorEastAsia" w:hAnsiTheme="minorEastAsia" w:eastAsiaTheme="minorEastAsia" w:cstheme="minorEastAsia"/>
          <w:bCs/>
          <w:color w:val="auto"/>
          <w:sz w:val="28"/>
          <w:szCs w:val="28"/>
          <w:lang w:eastAsia="zh-CN"/>
        </w:rPr>
        <w:t>，</w:t>
      </w:r>
      <w:r>
        <w:rPr>
          <w:rFonts w:hint="eastAsia" w:asciiTheme="minorEastAsia" w:hAnsiTheme="minorEastAsia" w:eastAsiaTheme="minorEastAsia" w:cstheme="minorEastAsia"/>
          <w:bCs/>
          <w:color w:val="auto"/>
          <w:sz w:val="28"/>
          <w:szCs w:val="28"/>
        </w:rPr>
        <w:t>固定价格比例为</w:t>
      </w:r>
      <w:r>
        <w:rPr>
          <w:rFonts w:hint="eastAsia" w:asciiTheme="minorEastAsia" w:hAnsiTheme="minorEastAsia" w:eastAsiaTheme="minorEastAsia" w:cstheme="minorEastAsia"/>
          <w:bCs/>
          <w:color w:val="auto"/>
          <w:sz w:val="28"/>
          <w:szCs w:val="28"/>
          <w:u w:val="single"/>
        </w:rPr>
        <w:t xml:space="preserve">     </w:t>
      </w:r>
      <w:r>
        <w:rPr>
          <w:rFonts w:hint="eastAsia" w:asciiTheme="minorEastAsia" w:hAnsiTheme="minorEastAsia" w:eastAsiaTheme="minorEastAsia" w:cstheme="minorEastAsia"/>
          <w:bCs/>
          <w:color w:val="auto"/>
          <w:sz w:val="28"/>
          <w:szCs w:val="28"/>
        </w:rPr>
        <w:t>%。</w:t>
      </w:r>
    </w:p>
    <w:p>
      <w:pPr>
        <w:numPr>
          <w:ilvl w:val="0"/>
          <w:numId w:val="0"/>
        </w:numPr>
        <w:ind w:firstLine="570" w:firstLineChars="0"/>
        <w:rPr>
          <w:rFonts w:asciiTheme="minorEastAsia" w:hAnsiTheme="minorEastAsia" w:cstheme="minorEastAsia"/>
          <w:bCs/>
          <w:color w:val="auto"/>
          <w:szCs w:val="21"/>
        </w:rPr>
      </w:pPr>
      <w:r>
        <w:rPr>
          <w:rFonts w:hint="eastAsia" w:asciiTheme="minorEastAsia" w:hAnsiTheme="minorEastAsia" w:cstheme="minorEastAsia"/>
          <w:bCs/>
          <w:color w:val="auto"/>
          <w:szCs w:val="21"/>
        </w:rPr>
        <w:t>备注：“</w:t>
      </w:r>
      <w:r>
        <w:rPr>
          <w:rFonts w:hint="eastAsia" w:asciiTheme="minorEastAsia" w:hAnsiTheme="minorEastAsia" w:eastAsiaTheme="minorEastAsia" w:cstheme="minorEastAsia"/>
          <w:bCs/>
          <w:color w:val="auto"/>
          <w:kern w:val="2"/>
          <w:sz w:val="21"/>
          <w:szCs w:val="21"/>
          <w:lang w:bidi="ar-SA"/>
        </w:rPr>
        <w:t>固定价格</w:t>
      </w:r>
      <w:r>
        <w:rPr>
          <w:rFonts w:hint="eastAsia" w:asciiTheme="minorEastAsia" w:hAnsiTheme="minorEastAsia" w:cstheme="minorEastAsia"/>
          <w:bCs/>
          <w:color w:val="auto"/>
          <w:szCs w:val="21"/>
        </w:rPr>
        <w:t>”最多可保留</w:t>
      </w:r>
      <w:r>
        <w:rPr>
          <w:rFonts w:hint="eastAsia" w:asciiTheme="minorEastAsia" w:hAnsiTheme="minorEastAsia" w:cstheme="minorEastAsia"/>
          <w:bCs/>
          <w:color w:val="auto"/>
          <w:szCs w:val="21"/>
          <w:lang w:val="en-US" w:eastAsia="zh-CN"/>
        </w:rPr>
        <w:t>3</w:t>
      </w:r>
      <w:r>
        <w:rPr>
          <w:rFonts w:hint="eastAsia" w:asciiTheme="minorEastAsia" w:hAnsiTheme="minorEastAsia" w:cstheme="minorEastAsia"/>
          <w:bCs/>
          <w:color w:val="auto"/>
          <w:szCs w:val="21"/>
        </w:rPr>
        <w:t>位小数</w:t>
      </w:r>
      <w:r>
        <w:rPr>
          <w:rFonts w:hint="eastAsia" w:asciiTheme="minorEastAsia" w:hAnsiTheme="minorEastAsia" w:cstheme="minorEastAsia"/>
          <w:bCs/>
          <w:color w:val="auto"/>
          <w:szCs w:val="21"/>
          <w:lang w:eastAsia="zh-CN"/>
        </w:rPr>
        <w:t>，</w:t>
      </w:r>
      <w:r>
        <w:rPr>
          <w:rFonts w:hint="eastAsia" w:asciiTheme="minorEastAsia" w:hAnsiTheme="minorEastAsia" w:cstheme="minorEastAsia"/>
          <w:bCs/>
          <w:color w:val="auto"/>
          <w:szCs w:val="21"/>
          <w:lang w:val="en-US" w:eastAsia="zh-CN"/>
        </w:rPr>
        <w:t>固定价格比例介于0—100%间的整数百分比</w:t>
      </w:r>
      <w:r>
        <w:rPr>
          <w:rFonts w:hint="eastAsia" w:asciiTheme="minorEastAsia" w:hAnsiTheme="minorEastAsia" w:cstheme="minorEastAsia"/>
          <w:bCs/>
          <w:color w:val="auto"/>
          <w:szCs w:val="21"/>
        </w:rPr>
        <w:t>。</w:t>
      </w:r>
    </w:p>
    <w:p>
      <w:pPr>
        <w:spacing w:line="600" w:lineRule="exact"/>
        <w:ind w:firstLine="641"/>
        <w:rPr>
          <w:rFonts w:hint="eastAsia" w:asciiTheme="minorEastAsia" w:hAnsiTheme="minorEastAsia" w:eastAsiaTheme="minorEastAsia"/>
          <w:b/>
          <w:bCs/>
          <w:color w:val="auto"/>
          <w:sz w:val="28"/>
          <w:szCs w:val="28"/>
          <w:lang w:val="en-US" w:eastAsia="zh-CN"/>
        </w:rPr>
      </w:pPr>
      <w:r>
        <w:rPr>
          <w:rFonts w:hint="eastAsia" w:asciiTheme="minorEastAsia" w:hAnsiTheme="minorEastAsia"/>
          <w:b/>
          <w:bCs/>
          <w:color w:val="auto"/>
          <w:sz w:val="28"/>
          <w:szCs w:val="28"/>
        </w:rPr>
        <w:t>（2）月度价差分成</w:t>
      </w:r>
      <w:r>
        <w:rPr>
          <w:rFonts w:hint="eastAsia" w:asciiTheme="minorEastAsia" w:hAnsiTheme="minorEastAsia"/>
          <w:b/>
          <w:bCs/>
          <w:color w:val="auto"/>
          <w:sz w:val="28"/>
          <w:szCs w:val="28"/>
          <w:lang w:val="en-US" w:eastAsia="zh-CN"/>
        </w:rPr>
        <w:t>模式</w:t>
      </w:r>
    </w:p>
    <w:p>
      <w:pPr>
        <w:numPr>
          <w:ilvl w:val="255"/>
          <w:numId w:val="0"/>
        </w:numPr>
        <w:spacing w:line="360" w:lineRule="auto"/>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月度价差分成</w:t>
      </w:r>
      <w:r>
        <w:rPr>
          <w:rFonts w:hint="eastAsia" w:ascii="宋体" w:hAnsi="宋体" w:eastAsia="宋体" w:cs="宋体"/>
          <w:color w:val="auto"/>
          <w:sz w:val="28"/>
          <w:szCs w:val="28"/>
          <w:lang w:val="en-US" w:eastAsia="zh-CN"/>
        </w:rPr>
        <w:t>模式</w:t>
      </w:r>
      <w:r>
        <w:rPr>
          <w:rFonts w:hint="eastAsia" w:ascii="宋体" w:hAnsi="宋体" w:eastAsia="宋体" w:cs="宋体"/>
          <w:color w:val="auto"/>
          <w:sz w:val="28"/>
          <w:szCs w:val="28"/>
        </w:rPr>
        <w:t>是指甲、乙双方约定，对甲方当月电量在约定的基础价上，额外加收一定比例价差的电量电费计算方法。</w:t>
      </w:r>
    </w:p>
    <w:p>
      <w:pPr>
        <w:numPr>
          <w:ilvl w:val="255"/>
          <w:numId w:val="0"/>
        </w:numPr>
        <w:spacing w:line="360" w:lineRule="auto"/>
        <w:ind w:firstLine="560" w:firstLineChars="200"/>
        <w:rPr>
          <w:rFonts w:ascii="Times New Roman" w:hAnsi="Times New Roman"/>
          <w:color w:val="auto"/>
          <w:sz w:val="28"/>
          <w:szCs w:val="28"/>
        </w:rPr>
      </w:pPr>
      <w:r>
        <w:rPr>
          <w:rFonts w:hint="eastAsia" w:ascii="Times New Roman" w:hAnsi="Times New Roman"/>
          <w:color w:val="auto"/>
          <w:sz w:val="28"/>
          <w:szCs w:val="28"/>
        </w:rPr>
        <w:t>电能量价格=基础价+价差×乙方分成比例</w:t>
      </w:r>
    </w:p>
    <w:p>
      <w:pPr>
        <w:spacing w:line="360" w:lineRule="auto"/>
        <w:ind w:firstLine="560" w:firstLineChars="200"/>
        <w:rPr>
          <w:rFonts w:ascii="Times New Roman" w:hAnsi="Times New Roman"/>
          <w:color w:val="auto"/>
          <w:sz w:val="28"/>
          <w:szCs w:val="28"/>
        </w:rPr>
      </w:pPr>
      <w:r>
        <w:rPr>
          <w:rFonts w:hint="eastAsia" w:ascii="Times New Roman" w:hAnsi="Times New Roman" w:eastAsia="宋体" w:cs="Times New Roman"/>
          <w:color w:val="auto"/>
          <w:sz w:val="28"/>
          <w:szCs w:val="28"/>
        </w:rPr>
        <w:t>电能量电费=结算电量×电能量价格</w:t>
      </w:r>
    </w:p>
    <w:p>
      <w:pPr>
        <w:numPr>
          <w:ilvl w:val="255"/>
          <w:numId w:val="0"/>
        </w:numPr>
        <w:adjustRightInd w:val="0"/>
        <w:snapToGrid w:val="0"/>
        <w:spacing w:line="360" w:lineRule="auto"/>
        <w:ind w:firstLine="562" w:firstLineChars="200"/>
        <w:rPr>
          <w:rFonts w:ascii="宋体" w:hAnsi="宋体" w:eastAsia="宋体" w:cs="宋体"/>
          <w:color w:val="auto"/>
          <w:sz w:val="28"/>
          <w:szCs w:val="28"/>
        </w:rPr>
      </w:pPr>
      <w:r>
        <w:rPr>
          <w:rFonts w:hint="eastAsia" w:ascii="宋体" w:hAnsi="宋体" w:eastAsia="宋体" w:cs="宋体"/>
          <w:b/>
          <w:bCs/>
          <w:color w:val="auto"/>
          <w:sz w:val="28"/>
          <w:szCs w:val="28"/>
        </w:rPr>
        <w:t>基础价</w:t>
      </w:r>
      <w:r>
        <w:rPr>
          <w:rFonts w:hint="eastAsia" w:ascii="宋体" w:hAnsi="宋体" w:eastAsia="宋体" w:cs="宋体"/>
          <w:color w:val="auto"/>
          <w:sz w:val="28"/>
          <w:szCs w:val="28"/>
        </w:rPr>
        <w:t>可选择以下方式：</w:t>
      </w:r>
    </w:p>
    <w:p>
      <w:pPr>
        <w:adjustRightInd w:val="0"/>
        <w:snapToGrid w:val="0"/>
        <w:spacing w:line="360" w:lineRule="auto"/>
        <w:ind w:firstLine="560"/>
        <w:rPr>
          <w:rFonts w:hint="eastAsia" w:asciiTheme="minorEastAsia" w:hAnsiTheme="minorEastAsia" w:eastAsiaTheme="minorEastAsia" w:cstheme="minorEastAsia"/>
          <w:b w:val="0"/>
          <w:bCs/>
          <w:color w:val="auto"/>
          <w:sz w:val="28"/>
          <w:szCs w:val="28"/>
        </w:rPr>
      </w:pPr>
      <w:r>
        <w:rPr>
          <w:rFonts w:hint="eastAsia" w:ascii="宋体" w:hAnsi="宋体" w:eastAsia="宋体" w:cs="宋体"/>
          <w:color w:val="auto"/>
          <w:sz w:val="28"/>
          <w:szCs w:val="28"/>
        </w:rPr>
        <w:t>①</w:t>
      </w:r>
      <w:r>
        <w:rPr>
          <w:rFonts w:hint="eastAsia" w:asciiTheme="minorEastAsia" w:hAnsiTheme="minorEastAsia" w:eastAsiaTheme="minorEastAsia" w:cstheme="minorEastAsia"/>
          <w:b w:val="0"/>
          <w:bCs/>
          <w:color w:val="auto"/>
          <w:sz w:val="28"/>
          <w:szCs w:val="28"/>
        </w:rPr>
        <w:t>固定价格</w:t>
      </w:r>
    </w:p>
    <w:p>
      <w:pPr>
        <w:pStyle w:val="2"/>
        <w:rPr>
          <w:rFonts w:hint="eastAsia" w:eastAsiaTheme="minorEastAsia"/>
          <w:lang w:eastAsia="zh-CN"/>
        </w:rPr>
      </w:pPr>
      <w:r>
        <w:rPr>
          <w:rFonts w:hint="eastAsia" w:asciiTheme="minorEastAsia" w:hAnsiTheme="minorEastAsia" w:cstheme="minorEastAsia"/>
          <w:b w:val="0"/>
          <w:bCs/>
          <w:color w:val="auto"/>
          <w:sz w:val="28"/>
          <w:szCs w:val="28"/>
          <w:lang w:val="en-US" w:eastAsia="zh-CN"/>
        </w:rPr>
        <w:t>甲乙</w:t>
      </w:r>
      <w:r>
        <w:rPr>
          <w:rFonts w:hint="eastAsia" w:asciiTheme="minorEastAsia" w:hAnsiTheme="minorEastAsia" w:eastAsiaTheme="minorEastAsia" w:cstheme="minorEastAsia"/>
          <w:b w:val="0"/>
          <w:bCs/>
          <w:color w:val="auto"/>
          <w:sz w:val="28"/>
          <w:szCs w:val="28"/>
        </w:rPr>
        <w:t>双方协商同意的某一固定值</w:t>
      </w:r>
      <w:r>
        <w:rPr>
          <w:rFonts w:hint="eastAsia" w:asciiTheme="minorEastAsia" w:hAnsiTheme="minorEastAsia" w:eastAsiaTheme="minorEastAsia" w:cstheme="minorEastAsia"/>
          <w:b w:val="0"/>
          <w:bCs/>
          <w:color w:val="auto"/>
          <w:sz w:val="28"/>
          <w:szCs w:val="28"/>
          <w:lang w:eastAsia="zh-CN"/>
        </w:rPr>
        <w:t>。</w:t>
      </w:r>
    </w:p>
    <w:p>
      <w:pPr>
        <w:adjustRightInd w:val="0"/>
        <w:snapToGrid w:val="0"/>
        <w:spacing w:line="360" w:lineRule="auto"/>
        <w:ind w:firstLine="560"/>
        <w:rPr>
          <w:rFonts w:ascii="宋体" w:hAnsi="宋体" w:eastAsia="宋体" w:cs="宋体"/>
          <w:color w:val="auto"/>
          <w:sz w:val="28"/>
          <w:szCs w:val="28"/>
        </w:rPr>
      </w:pPr>
      <w:r>
        <w:rPr>
          <w:rFonts w:hint="eastAsia" w:ascii="宋体" w:hAnsi="宋体" w:eastAsia="宋体" w:cs="宋体"/>
          <w:color w:val="auto"/>
          <w:sz w:val="28"/>
          <w:szCs w:val="28"/>
        </w:rPr>
        <w:t>②市场计划加权价格</w:t>
      </w:r>
    </w:p>
    <w:p>
      <w:pPr>
        <w:adjustRightInd w:val="0"/>
        <w:snapToGrid w:val="0"/>
        <w:spacing w:line="360" w:lineRule="auto"/>
        <w:ind w:firstLine="560" w:firstLineChars="0"/>
        <w:rPr>
          <w:rFonts w:ascii="宋体" w:hAnsi="宋体" w:eastAsia="宋体" w:cs="宋体"/>
          <w:color w:val="auto"/>
          <w:sz w:val="28"/>
          <w:szCs w:val="28"/>
        </w:rPr>
      </w:pPr>
      <w:r>
        <w:rPr>
          <w:rFonts w:hint="eastAsia" w:ascii="宋体" w:hAnsi="宋体" w:eastAsia="宋体" w:cs="宋体"/>
          <w:color w:val="auto"/>
          <w:sz w:val="28"/>
          <w:szCs w:val="28"/>
        </w:rPr>
        <w:t>对应月份全体批发交易用户各电能量交易品种（</w:t>
      </w:r>
      <w:r>
        <w:rPr>
          <w:rFonts w:hint="eastAsia" w:ascii="宋体" w:hAnsi="宋体" w:eastAsia="宋体" w:cs="宋体"/>
          <w:color w:val="auto"/>
          <w:sz w:val="28"/>
          <w:szCs w:val="28"/>
          <w:lang w:eastAsia="zh-CN"/>
        </w:rPr>
        <w:t>不</w:t>
      </w:r>
      <w:r>
        <w:rPr>
          <w:rFonts w:hint="eastAsia" w:ascii="宋体" w:hAnsi="宋体" w:eastAsia="宋体" w:cs="宋体"/>
          <w:color w:val="auto"/>
          <w:sz w:val="28"/>
          <w:szCs w:val="28"/>
        </w:rPr>
        <w:t>含绿色电力交易的环境溢价）的</w:t>
      </w:r>
      <w:r>
        <w:rPr>
          <w:rFonts w:hint="eastAsia" w:ascii="宋体" w:hAnsi="宋体" w:eastAsia="宋体" w:cs="宋体"/>
          <w:color w:val="auto"/>
          <w:sz w:val="28"/>
          <w:szCs w:val="28"/>
          <w:lang w:val="en-US" w:eastAsia="zh-CN"/>
        </w:rPr>
        <w:t>交易</w:t>
      </w:r>
      <w:r>
        <w:rPr>
          <w:rFonts w:hint="eastAsia" w:ascii="宋体" w:hAnsi="宋体" w:eastAsia="宋体" w:cs="宋体"/>
          <w:color w:val="auto"/>
          <w:sz w:val="28"/>
          <w:szCs w:val="28"/>
        </w:rPr>
        <w:t>计划加权平均价格。</w:t>
      </w:r>
    </w:p>
    <w:p>
      <w:pPr>
        <w:adjustRightInd w:val="0"/>
        <w:snapToGrid w:val="0"/>
        <w:spacing w:line="360" w:lineRule="auto"/>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③市场月度集中交易价格</w:t>
      </w:r>
    </w:p>
    <w:p>
      <w:pPr>
        <w:adjustRightInd w:val="0"/>
        <w:snapToGrid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对应月份全体批发交易用户月度市场电量直接交易(集中交易)的加权平均价格。</w:t>
      </w:r>
    </w:p>
    <w:p>
      <w:pPr>
        <w:adjustRightInd w:val="0"/>
        <w:snapToGrid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④市场月度</w:t>
      </w:r>
      <w:r>
        <w:rPr>
          <w:rFonts w:hint="eastAsia" w:ascii="宋体" w:hAnsi="宋体" w:eastAsia="宋体" w:cs="宋体"/>
          <w:color w:val="auto"/>
          <w:sz w:val="28"/>
          <w:szCs w:val="28"/>
          <w:lang w:eastAsia="zh-CN"/>
        </w:rPr>
        <w:t>、月内</w:t>
      </w:r>
      <w:r>
        <w:rPr>
          <w:rFonts w:hint="eastAsia" w:ascii="宋体" w:hAnsi="宋体" w:eastAsia="宋体" w:cs="宋体"/>
          <w:color w:val="auto"/>
          <w:sz w:val="28"/>
          <w:szCs w:val="28"/>
        </w:rPr>
        <w:t>集中交易价格</w:t>
      </w:r>
    </w:p>
    <w:p>
      <w:pPr>
        <w:pStyle w:val="2"/>
        <w:rPr>
          <w:rFonts w:hint="eastAsia"/>
        </w:rPr>
      </w:pPr>
      <w:r>
        <w:rPr>
          <w:rFonts w:hint="eastAsia" w:asciiTheme="minorEastAsia" w:hAnsiTheme="minorEastAsia" w:eastAsiaTheme="minorEastAsia" w:cstheme="minorEastAsia"/>
          <w:bCs/>
          <w:color w:val="auto"/>
          <w:sz w:val="28"/>
          <w:szCs w:val="28"/>
          <w:lang w:val="en-US" w:eastAsia="zh-CN"/>
        </w:rPr>
        <w:t>对应月份全体批发交易用户月度(集中交易)、月内市场电量直接交易(集中交易)的加权平均价格。</w:t>
      </w:r>
    </w:p>
    <w:p>
      <w:pPr>
        <w:adjustRightInd w:val="0"/>
        <w:snapToGrid w:val="0"/>
        <w:spacing w:line="360" w:lineRule="auto"/>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⑤年度市场电量交易月度价格</w:t>
      </w:r>
    </w:p>
    <w:p>
      <w:pPr>
        <w:adjustRightInd w:val="0"/>
        <w:snapToGrid w:val="0"/>
        <w:spacing w:line="360" w:lineRule="auto"/>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对应月份全体批发交易用户年度市场电量交易月度分解计划的加权</w:t>
      </w:r>
      <w:r>
        <w:rPr>
          <w:rFonts w:hint="eastAsia" w:ascii="宋体" w:hAnsi="宋体" w:eastAsia="宋体" w:cs="宋体"/>
          <w:color w:val="auto"/>
          <w:sz w:val="28"/>
          <w:szCs w:val="28"/>
          <w:lang w:val="en-US" w:eastAsia="zh-CN"/>
        </w:rPr>
        <w:t>平均</w:t>
      </w:r>
      <w:r>
        <w:rPr>
          <w:rFonts w:hint="eastAsia" w:ascii="宋体" w:hAnsi="宋体" w:eastAsia="宋体" w:cs="宋体"/>
          <w:color w:val="auto"/>
          <w:sz w:val="28"/>
          <w:szCs w:val="28"/>
        </w:rPr>
        <w:t>价格。</w:t>
      </w:r>
    </w:p>
    <w:p>
      <w:pPr>
        <w:pStyle w:val="2"/>
        <w:ind w:firstLine="560"/>
        <w:rPr>
          <w:rFonts w:hint="eastAsia" w:ascii="宋体" w:hAnsi="宋体" w:eastAsia="宋体" w:cs="宋体"/>
          <w:color w:val="auto"/>
          <w:sz w:val="28"/>
          <w:szCs w:val="28"/>
        </w:rPr>
      </w:pPr>
      <w:r>
        <w:rPr>
          <w:rFonts w:hint="eastAsia" w:ascii="宋体" w:hAnsi="宋体" w:eastAsia="宋体" w:cs="宋体"/>
          <w:color w:val="auto"/>
          <w:sz w:val="28"/>
          <w:szCs w:val="28"/>
        </w:rPr>
        <w:t>⑥市场月度批发结算价格</w:t>
      </w:r>
    </w:p>
    <w:p>
      <w:pPr>
        <w:pStyle w:val="2"/>
        <w:ind w:firstLine="560"/>
        <w:rPr>
          <w:rFonts w:ascii="宋体" w:hAnsi="宋体" w:eastAsia="宋体" w:cs="宋体"/>
          <w:color w:val="auto"/>
          <w:sz w:val="28"/>
          <w:szCs w:val="28"/>
        </w:rPr>
      </w:pPr>
      <w:r>
        <w:rPr>
          <w:rFonts w:hint="eastAsia" w:ascii="宋体" w:hAnsi="宋体" w:eastAsia="宋体" w:cs="宋体"/>
          <w:color w:val="auto"/>
          <w:sz w:val="28"/>
          <w:szCs w:val="28"/>
        </w:rPr>
        <w:t>对应月份全体批发交易用户各电能量交易品种全月合同电量（不含绿色电力交易的环境溢价）、非现货运行期间偏差电量、现货运行期间日前偏差电量与实时偏差电量的加权平均结算价格。</w:t>
      </w:r>
    </w:p>
    <w:p>
      <w:pPr>
        <w:numPr>
          <w:ilvl w:val="255"/>
          <w:numId w:val="0"/>
        </w:numPr>
        <w:adjustRightInd w:val="0"/>
        <w:snapToGrid w:val="0"/>
        <w:spacing w:line="360" w:lineRule="auto"/>
        <w:ind w:firstLine="562" w:firstLineChars="200"/>
        <w:rPr>
          <w:rFonts w:ascii="Times New Roman" w:hAnsi="Times New Roman"/>
          <w:color w:val="auto"/>
          <w:sz w:val="28"/>
          <w:szCs w:val="28"/>
        </w:rPr>
      </w:pPr>
      <w:r>
        <w:rPr>
          <w:rFonts w:hint="eastAsia" w:ascii="Times New Roman" w:hAnsi="Times New Roman"/>
          <w:b/>
          <w:bCs/>
          <w:color w:val="auto"/>
          <w:sz w:val="28"/>
          <w:szCs w:val="28"/>
        </w:rPr>
        <w:t>价差</w:t>
      </w:r>
      <w:r>
        <w:rPr>
          <w:rFonts w:hint="eastAsia" w:ascii="宋体" w:hAnsi="宋体" w:eastAsia="宋体" w:cs="宋体"/>
          <w:color w:val="auto"/>
          <w:sz w:val="28"/>
          <w:szCs w:val="28"/>
        </w:rPr>
        <w:t>可选择以下方式</w:t>
      </w:r>
      <w:r>
        <w:rPr>
          <w:rFonts w:hint="eastAsia" w:ascii="宋体" w:hAnsi="宋体" w:eastAsia="宋体" w:cs="宋体"/>
          <w:color w:val="auto"/>
          <w:sz w:val="28"/>
          <w:szCs w:val="28"/>
          <w:lang w:eastAsia="zh-CN"/>
        </w:rPr>
        <w:t>，价差正负均传导</w:t>
      </w:r>
      <w:r>
        <w:rPr>
          <w:rFonts w:hint="eastAsia" w:ascii="Times New Roman" w:hAnsi="Times New Roman"/>
          <w:color w:val="auto"/>
          <w:sz w:val="28"/>
          <w:szCs w:val="28"/>
        </w:rPr>
        <w:t>：</w:t>
      </w:r>
    </w:p>
    <w:p>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①市场月度、月内集中交易价格与年度交易价格的价差</w:t>
      </w:r>
    </w:p>
    <w:p>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市场月度、月内集中交易价格与年度交易价格的价差=市场月度集中、月内集中交易价格-年度市场电量交易月度价格</w:t>
      </w:r>
      <w:r>
        <w:rPr>
          <w:rFonts w:hint="eastAsia" w:ascii="宋体" w:hAnsi="宋体" w:eastAsia="宋体" w:cs="宋体"/>
          <w:color w:val="auto"/>
          <w:sz w:val="28"/>
          <w:szCs w:val="28"/>
          <w:lang w:eastAsia="zh-CN"/>
        </w:rPr>
        <w:t>。</w:t>
      </w:r>
    </w:p>
    <w:p>
      <w:pPr>
        <w:adjustRightInd w:val="0"/>
        <w:snapToGrid w:val="0"/>
        <w:spacing w:line="360" w:lineRule="auto"/>
        <w:ind w:firstLine="560" w:firstLineChars="200"/>
        <w:rPr>
          <w:rFonts w:hint="eastAsia" w:ascii="宋体" w:hAnsi="宋体" w:eastAsia="宋体" w:cs="宋体"/>
          <w:color w:val="auto"/>
          <w:sz w:val="28"/>
          <w:szCs w:val="28"/>
          <w:lang w:eastAsia="zh-CN"/>
        </w:rPr>
      </w:pPr>
      <w:r>
        <w:rPr>
          <w:rFonts w:hint="eastAsia" w:ascii="宋体" w:hAnsi="宋体" w:eastAsia="宋体" w:cs="宋体"/>
          <w:color w:val="auto"/>
          <w:sz w:val="28"/>
          <w:szCs w:val="28"/>
        </w:rPr>
        <w:t>②</w:t>
      </w:r>
      <w:r>
        <w:rPr>
          <w:rFonts w:hint="eastAsia" w:ascii="宋体" w:hAnsi="宋体" w:eastAsia="宋体" w:cs="宋体"/>
          <w:color w:val="auto"/>
          <w:sz w:val="28"/>
          <w:szCs w:val="28"/>
          <w:lang w:eastAsia="zh-CN"/>
        </w:rPr>
        <w:t>市场月度批发结算价格与市场计划价格的价差</w:t>
      </w:r>
    </w:p>
    <w:p>
      <w:pPr>
        <w:numPr>
          <w:ilvl w:val="-1"/>
          <w:numId w:val="0"/>
        </w:numPr>
        <w:adjustRightInd/>
        <w:snapToGrid/>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lang w:eastAsia="zh-CN"/>
        </w:rPr>
        <w:t>市场月度批发结算价格与市场计划价格的价差</w:t>
      </w:r>
      <w:r>
        <w:rPr>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rPr>
        <w:t>市场月度批发结算价格</w:t>
      </w:r>
      <w:r>
        <w:rPr>
          <w:rFonts w:hint="eastAsia" w:ascii="宋体" w:hAnsi="宋体" w:eastAsia="宋体" w:cs="宋体"/>
          <w:color w:val="auto"/>
          <w:sz w:val="28"/>
          <w:szCs w:val="28"/>
          <w:lang w:val="en-US" w:eastAsia="zh-CN"/>
        </w:rPr>
        <w:t>-市场计划加权价格</w:t>
      </w:r>
      <w:r>
        <w:rPr>
          <w:rFonts w:hint="eastAsia" w:ascii="宋体" w:hAnsi="宋体" w:eastAsia="宋体" w:cs="宋体"/>
          <w:color w:val="auto"/>
          <w:sz w:val="28"/>
          <w:szCs w:val="28"/>
        </w:rPr>
        <w:t>。</w:t>
      </w:r>
    </w:p>
    <w:p>
      <w:pPr>
        <w:spacing w:line="360" w:lineRule="auto"/>
        <w:ind w:firstLine="560"/>
        <w:rPr>
          <w:rFonts w:hint="eastAsia" w:ascii="宋体" w:hAnsi="宋体" w:cs="宋体"/>
          <w:color w:val="auto"/>
          <w:sz w:val="28"/>
          <w:szCs w:val="28"/>
        </w:rPr>
      </w:pPr>
      <w:r>
        <w:rPr>
          <w:rFonts w:hint="eastAsia" w:ascii="宋体" w:hAnsi="宋体" w:cs="宋体"/>
          <w:color w:val="auto"/>
          <w:sz w:val="28"/>
          <w:szCs w:val="28"/>
        </w:rPr>
        <w:t>③现货市场加权平均价格与年度交易价格的价差</w:t>
      </w:r>
    </w:p>
    <w:p>
      <w:pPr>
        <w:spacing w:line="360" w:lineRule="auto"/>
        <w:ind w:firstLine="560"/>
        <w:rPr>
          <w:rFonts w:ascii="宋体" w:hAnsi="宋体" w:cs="宋体"/>
          <w:color w:val="auto"/>
          <w:sz w:val="28"/>
          <w:szCs w:val="28"/>
        </w:rPr>
      </w:pPr>
      <w:r>
        <w:rPr>
          <w:rFonts w:hint="eastAsia" w:ascii="宋体" w:hAnsi="宋体" w:cs="宋体"/>
          <w:color w:val="auto"/>
          <w:sz w:val="28"/>
          <w:szCs w:val="28"/>
        </w:rPr>
        <w:t>现货市场加权平均价格与年度交易价格的价差=现货市场加权平均价格-年度市场电量交易月度价格。</w:t>
      </w:r>
    </w:p>
    <w:p>
      <w:pPr>
        <w:spacing w:line="360" w:lineRule="auto"/>
        <w:ind w:firstLine="560"/>
        <w:rPr>
          <w:rFonts w:hint="eastAsia" w:ascii="宋体" w:hAnsi="宋体" w:cs="宋体"/>
          <w:color w:val="auto"/>
          <w:sz w:val="28"/>
          <w:szCs w:val="28"/>
        </w:rPr>
      </w:pPr>
      <w:r>
        <w:rPr>
          <w:rFonts w:hint="eastAsia" w:ascii="宋体" w:hAnsi="宋体" w:cs="宋体"/>
          <w:color w:val="auto"/>
          <w:sz w:val="28"/>
          <w:szCs w:val="28"/>
        </w:rPr>
        <w:t>④现货市场加权平均价格与市场计划价格的价差</w:t>
      </w:r>
    </w:p>
    <w:p>
      <w:pPr>
        <w:spacing w:line="360" w:lineRule="auto"/>
        <w:ind w:firstLine="560"/>
        <w:rPr>
          <w:rFonts w:ascii="宋体" w:hAnsi="宋体" w:cs="宋体"/>
          <w:color w:val="auto"/>
          <w:sz w:val="28"/>
          <w:szCs w:val="28"/>
        </w:rPr>
      </w:pPr>
      <w:r>
        <w:rPr>
          <w:rFonts w:hint="eastAsia" w:ascii="宋体" w:hAnsi="宋体" w:cs="宋体"/>
          <w:color w:val="auto"/>
          <w:sz w:val="28"/>
          <w:szCs w:val="28"/>
        </w:rPr>
        <w:t>现货市场加权平均价格与市场计划价格的价差=现货市场加权平均价格-市场计划加权价格。</w:t>
      </w:r>
    </w:p>
    <w:p>
      <w:pPr>
        <w:ind w:firstLine="570"/>
        <w:jc w:val="left"/>
        <w:rPr>
          <w:rFonts w:ascii="Times New Roman" w:hAnsi="Times New Roman"/>
          <w:color w:val="auto"/>
          <w:sz w:val="28"/>
          <w:szCs w:val="28"/>
        </w:rPr>
      </w:pPr>
      <w:r>
        <w:rPr>
          <w:rFonts w:hint="eastAsia" w:ascii="Times New Roman" w:hAnsi="Times New Roman"/>
          <w:color w:val="auto"/>
          <w:sz w:val="28"/>
          <w:szCs w:val="28"/>
        </w:rPr>
        <w:t>具体如下：</w:t>
      </w:r>
    </w:p>
    <w:p>
      <w:pPr>
        <w:numPr>
          <w:ilvl w:val="255"/>
          <w:numId w:val="0"/>
        </w:numPr>
        <w:ind w:firstLine="840" w:firstLineChars="300"/>
        <w:rPr>
          <w:rFonts w:asciiTheme="minorEastAsia" w:hAnsiTheme="minorEastAsia" w:cstheme="minorEastAsia"/>
          <w:bCs/>
          <w:color w:val="auto"/>
          <w:sz w:val="28"/>
          <w:szCs w:val="28"/>
        </w:rPr>
      </w:pPr>
      <w:r>
        <w:rPr>
          <w:rFonts w:hint="eastAsia" w:ascii="Times New Roman" w:hAnsi="Times New Roman"/>
          <w:color w:val="auto"/>
          <w:sz w:val="28"/>
          <w:szCs w:val="28"/>
        </w:rPr>
        <w:t>双方约定</w:t>
      </w:r>
      <w:r>
        <w:rPr>
          <w:rFonts w:hint="eastAsia" w:ascii="Times New Roman" w:hAnsi="Times New Roman"/>
          <w:b/>
          <w:bCs/>
          <w:color w:val="auto"/>
          <w:sz w:val="28"/>
          <w:szCs w:val="28"/>
        </w:rPr>
        <w:t>基础价</w:t>
      </w:r>
      <w:r>
        <w:rPr>
          <w:rFonts w:hint="eastAsia" w:ascii="Times New Roman" w:hAnsi="Times New Roman"/>
          <w:color w:val="auto"/>
          <w:sz w:val="28"/>
          <w:szCs w:val="28"/>
        </w:rPr>
        <w:t>为</w:t>
      </w:r>
      <w:r>
        <w:rPr>
          <w:rFonts w:hint="eastAsia" w:ascii="Times New Roman" w:hAnsi="Times New Roman"/>
          <w:color w:val="auto"/>
          <w:sz w:val="28"/>
          <w:szCs w:val="28"/>
          <w:u w:val="single"/>
        </w:rPr>
        <w:t xml:space="preserve">       </w:t>
      </w:r>
      <w:r>
        <w:rPr>
          <w:rFonts w:hint="eastAsia" w:ascii="Times New Roman" w:hAnsi="Times New Roman"/>
          <w:color w:val="auto"/>
          <w:sz w:val="28"/>
          <w:szCs w:val="28"/>
        </w:rPr>
        <w:t>（单位：</w:t>
      </w:r>
      <w:r>
        <w:rPr>
          <w:rFonts w:hint="eastAsia" w:ascii="宋体" w:hAnsi="宋体" w:cs="宋体"/>
          <w:color w:val="auto"/>
          <w:sz w:val="28"/>
          <w:szCs w:val="28"/>
        </w:rPr>
        <w:t>元/兆瓦时）</w:t>
      </w:r>
      <w:r>
        <w:rPr>
          <w:rFonts w:hint="eastAsia" w:ascii="Times New Roman" w:hAnsi="Times New Roman"/>
          <w:color w:val="auto"/>
          <w:sz w:val="28"/>
          <w:szCs w:val="28"/>
        </w:rPr>
        <w:t>（可填写</w:t>
      </w:r>
      <w:r>
        <w:rPr>
          <w:rFonts w:hint="eastAsia" w:ascii="Times New Roman" w:hAnsi="Times New Roman"/>
          <w:color w:val="auto"/>
          <w:sz w:val="28"/>
          <w:szCs w:val="28"/>
          <w:lang w:val="en-US" w:eastAsia="zh-CN"/>
        </w:rPr>
        <w:t>固定价格、</w:t>
      </w:r>
      <w:r>
        <w:rPr>
          <w:rFonts w:hint="eastAsia" w:ascii="Times New Roman" w:hAnsi="Times New Roman"/>
          <w:color w:val="auto"/>
          <w:sz w:val="28"/>
          <w:szCs w:val="28"/>
        </w:rPr>
        <w:t>“市场计划加权价格”、“市场月度集中交易价格”、</w:t>
      </w:r>
      <w:r>
        <w:rPr>
          <w:rFonts w:hint="eastAsia" w:ascii="Times New Roman" w:hAnsi="Times New Roman"/>
          <w:color w:val="auto"/>
          <w:sz w:val="28"/>
          <w:szCs w:val="28"/>
          <w:lang w:eastAsia="zh-CN"/>
        </w:rPr>
        <w:t>“</w:t>
      </w:r>
      <w:r>
        <w:rPr>
          <w:rFonts w:hint="eastAsia" w:ascii="宋体" w:hAnsi="宋体" w:eastAsia="宋体" w:cs="宋体"/>
          <w:color w:val="auto"/>
          <w:sz w:val="28"/>
          <w:szCs w:val="28"/>
        </w:rPr>
        <w:t>市场月度</w:t>
      </w:r>
      <w:r>
        <w:rPr>
          <w:rFonts w:hint="eastAsia" w:ascii="宋体" w:hAnsi="宋体" w:eastAsia="宋体" w:cs="宋体"/>
          <w:color w:val="auto"/>
          <w:sz w:val="28"/>
          <w:szCs w:val="28"/>
          <w:lang w:eastAsia="zh-CN"/>
        </w:rPr>
        <w:t>、月内</w:t>
      </w:r>
      <w:r>
        <w:rPr>
          <w:rFonts w:hint="eastAsia" w:ascii="宋体" w:hAnsi="宋体" w:eastAsia="宋体" w:cs="宋体"/>
          <w:color w:val="auto"/>
          <w:sz w:val="28"/>
          <w:szCs w:val="28"/>
        </w:rPr>
        <w:t>集中交易价格</w:t>
      </w:r>
      <w:r>
        <w:rPr>
          <w:rFonts w:hint="eastAsia" w:ascii="Times New Roman" w:hAnsi="Times New Roman"/>
          <w:color w:val="auto"/>
          <w:sz w:val="28"/>
          <w:szCs w:val="28"/>
          <w:lang w:eastAsia="zh-CN"/>
        </w:rPr>
        <w:t>”、</w:t>
      </w:r>
      <w:r>
        <w:rPr>
          <w:rFonts w:hint="eastAsia" w:ascii="Times New Roman" w:hAnsi="Times New Roman"/>
          <w:color w:val="auto"/>
          <w:sz w:val="28"/>
          <w:szCs w:val="28"/>
        </w:rPr>
        <w:t>“年度市场电量交易月度价格”、“</w:t>
      </w:r>
      <w:r>
        <w:rPr>
          <w:rFonts w:hint="eastAsia" w:ascii="Times New Roman" w:hAnsi="Times New Roman"/>
          <w:color w:val="auto"/>
          <w:sz w:val="28"/>
          <w:szCs w:val="28"/>
          <w:lang w:val="en-US" w:eastAsia="zh-CN"/>
        </w:rPr>
        <w:t>市场</w:t>
      </w:r>
      <w:r>
        <w:rPr>
          <w:rFonts w:hint="eastAsia" w:ascii="Times New Roman" w:hAnsi="Times New Roman"/>
          <w:color w:val="auto"/>
          <w:sz w:val="28"/>
          <w:szCs w:val="28"/>
        </w:rPr>
        <w:t>月度批发结算价格”）；价差方式为</w:t>
      </w:r>
      <w:r>
        <w:rPr>
          <w:rFonts w:hint="eastAsia" w:ascii="Times New Roman" w:hAnsi="Times New Roman"/>
          <w:color w:val="auto"/>
          <w:sz w:val="28"/>
          <w:szCs w:val="28"/>
          <w:u w:val="single"/>
        </w:rPr>
        <w:t xml:space="preserve">          </w:t>
      </w:r>
      <w:r>
        <w:rPr>
          <w:rFonts w:hint="eastAsia" w:ascii="Times New Roman" w:hAnsi="Times New Roman"/>
          <w:color w:val="auto"/>
          <w:sz w:val="28"/>
          <w:szCs w:val="28"/>
        </w:rPr>
        <w:t>（单位：</w:t>
      </w:r>
      <w:r>
        <w:rPr>
          <w:rFonts w:hint="eastAsia" w:ascii="宋体" w:hAnsi="宋体" w:cs="宋体"/>
          <w:color w:val="auto"/>
          <w:sz w:val="28"/>
          <w:szCs w:val="28"/>
        </w:rPr>
        <w:t>元/兆瓦时）</w:t>
      </w:r>
      <w:r>
        <w:rPr>
          <w:rFonts w:hint="eastAsia" w:ascii="Times New Roman" w:hAnsi="Times New Roman"/>
          <w:color w:val="auto"/>
          <w:sz w:val="28"/>
          <w:szCs w:val="28"/>
        </w:rPr>
        <w:t>（可填写“市场月度、月内集中交易价格与年度交易价格的价差”、“市场月度批发结算价格与市场计划价格的价差”、“现货市场加权平均价格与年度交易价格的价差”</w:t>
      </w:r>
      <w:r>
        <w:rPr>
          <w:rFonts w:hint="eastAsia" w:ascii="Times New Roman" w:hAnsi="Times New Roman"/>
          <w:color w:val="auto"/>
          <w:sz w:val="28"/>
          <w:szCs w:val="28"/>
          <w:lang w:eastAsia="zh-CN"/>
        </w:rPr>
        <w:t>、“</w:t>
      </w:r>
      <w:r>
        <w:rPr>
          <w:rFonts w:hint="eastAsia" w:ascii="宋体" w:hAnsi="宋体" w:cs="宋体"/>
          <w:color w:val="auto"/>
          <w:sz w:val="28"/>
          <w:szCs w:val="28"/>
        </w:rPr>
        <w:t>现货市场加权平均价格与市场计划价格的价差</w:t>
      </w:r>
      <w:r>
        <w:rPr>
          <w:rFonts w:hint="eastAsia" w:ascii="Times New Roman" w:hAnsi="Times New Roman"/>
          <w:color w:val="auto"/>
          <w:sz w:val="28"/>
          <w:szCs w:val="28"/>
          <w:lang w:eastAsia="zh-CN"/>
        </w:rPr>
        <w:t>”</w:t>
      </w:r>
      <w:r>
        <w:rPr>
          <w:rFonts w:hint="eastAsia" w:ascii="Times New Roman" w:hAnsi="Times New Roman"/>
          <w:color w:val="auto"/>
          <w:sz w:val="28"/>
          <w:szCs w:val="28"/>
        </w:rPr>
        <w:t>），乙方</w:t>
      </w:r>
      <w:r>
        <w:rPr>
          <w:rFonts w:hint="eastAsia" w:asciiTheme="minorEastAsia" w:hAnsiTheme="minorEastAsia" w:cstheme="minorEastAsia"/>
          <w:bCs/>
          <w:color w:val="auto"/>
          <w:sz w:val="28"/>
          <w:szCs w:val="28"/>
        </w:rPr>
        <w:t>分成比例为</w:t>
      </w:r>
      <w:r>
        <w:rPr>
          <w:rFonts w:hint="eastAsia" w:asciiTheme="minorEastAsia" w:hAnsiTheme="minorEastAsia" w:cstheme="minorEastAsia"/>
          <w:bCs/>
          <w:color w:val="auto"/>
          <w:sz w:val="28"/>
          <w:szCs w:val="28"/>
          <w:u w:val="single"/>
        </w:rPr>
        <w:t xml:space="preserve">     </w:t>
      </w:r>
      <w:r>
        <w:rPr>
          <w:rFonts w:hint="eastAsia" w:asciiTheme="minorEastAsia" w:hAnsiTheme="minorEastAsia" w:cstheme="minorEastAsia"/>
          <w:bCs/>
          <w:color w:val="auto"/>
          <w:sz w:val="28"/>
          <w:szCs w:val="28"/>
        </w:rPr>
        <w:t>%</w:t>
      </w:r>
      <w:r>
        <w:rPr>
          <w:rFonts w:hint="eastAsia" w:ascii="Times New Roman" w:hAnsi="Times New Roman"/>
          <w:color w:val="auto"/>
          <w:sz w:val="28"/>
          <w:szCs w:val="28"/>
        </w:rPr>
        <w:t>。</w:t>
      </w:r>
    </w:p>
    <w:p>
      <w:pPr>
        <w:rPr>
          <w:rFonts w:asciiTheme="minorEastAsia" w:hAnsiTheme="minorEastAsia" w:cstheme="minorEastAsia"/>
          <w:bCs/>
          <w:color w:val="auto"/>
          <w:szCs w:val="21"/>
        </w:rPr>
      </w:pPr>
      <w:r>
        <w:rPr>
          <w:rFonts w:hint="eastAsia" w:asciiTheme="minorEastAsia" w:hAnsiTheme="minorEastAsia" w:cstheme="minorEastAsia"/>
          <w:bCs/>
          <w:color w:val="auto"/>
          <w:szCs w:val="21"/>
        </w:rPr>
        <w:t>备注：“分成比例”为介于0—100%间的整数百分比。</w:t>
      </w:r>
    </w:p>
    <w:p>
      <w:pPr>
        <w:spacing w:line="600" w:lineRule="exact"/>
        <w:ind w:firstLine="641"/>
        <w:rPr>
          <w:rFonts w:hint="eastAsia" w:asciiTheme="minorEastAsia" w:hAnsiTheme="minorEastAsia" w:eastAsiaTheme="minorEastAsia"/>
          <w:b/>
          <w:bCs/>
          <w:color w:val="auto"/>
          <w:sz w:val="28"/>
          <w:szCs w:val="28"/>
          <w:lang w:val="en-US" w:eastAsia="zh-CN"/>
        </w:rPr>
      </w:pPr>
      <w:r>
        <w:rPr>
          <w:rFonts w:hint="eastAsia" w:asciiTheme="minorEastAsia" w:hAnsiTheme="minorEastAsia"/>
          <w:b/>
          <w:bCs/>
          <w:color w:val="auto"/>
          <w:sz w:val="28"/>
          <w:szCs w:val="28"/>
        </w:rPr>
        <w:t>（</w:t>
      </w:r>
      <w:r>
        <w:rPr>
          <w:rFonts w:hint="eastAsia" w:asciiTheme="minorEastAsia" w:hAnsiTheme="minorEastAsia"/>
          <w:b/>
          <w:bCs/>
          <w:color w:val="auto"/>
          <w:sz w:val="28"/>
          <w:szCs w:val="28"/>
          <w:lang w:val="en-US" w:eastAsia="zh-CN"/>
        </w:rPr>
        <w:t>3</w:t>
      </w:r>
      <w:r>
        <w:rPr>
          <w:rFonts w:hint="eastAsia" w:asciiTheme="minorEastAsia" w:hAnsiTheme="minorEastAsia"/>
          <w:b/>
          <w:bCs/>
          <w:color w:val="auto"/>
          <w:sz w:val="28"/>
          <w:szCs w:val="28"/>
        </w:rPr>
        <w:t>）月度保底分成</w:t>
      </w:r>
      <w:r>
        <w:rPr>
          <w:rFonts w:hint="eastAsia" w:asciiTheme="minorEastAsia" w:hAnsiTheme="minorEastAsia"/>
          <w:b/>
          <w:bCs/>
          <w:color w:val="auto"/>
          <w:sz w:val="28"/>
          <w:szCs w:val="28"/>
          <w:lang w:val="en-US" w:eastAsia="zh-CN"/>
        </w:rPr>
        <w:t>模式</w:t>
      </w:r>
    </w:p>
    <w:p>
      <w:pPr>
        <w:ind w:firstLine="570"/>
        <w:rPr>
          <w:rFonts w:ascii="Times New Roman" w:hAnsi="Times New Roman"/>
          <w:color w:val="auto"/>
          <w:sz w:val="28"/>
          <w:szCs w:val="28"/>
        </w:rPr>
      </w:pPr>
      <w:r>
        <w:rPr>
          <w:rFonts w:hint="eastAsia" w:asciiTheme="minorEastAsia" w:hAnsiTheme="minorEastAsia" w:cstheme="minorEastAsia"/>
          <w:color w:val="auto"/>
          <w:sz w:val="28"/>
          <w:szCs w:val="28"/>
        </w:rPr>
        <w:t>当</w:t>
      </w:r>
      <w:r>
        <w:rPr>
          <w:rFonts w:hint="eastAsia" w:asciiTheme="minorEastAsia" w:hAnsiTheme="minorEastAsia" w:cstheme="minorEastAsia"/>
          <w:color w:val="auto"/>
          <w:sz w:val="28"/>
          <w:szCs w:val="28"/>
          <w:lang w:val="en-US" w:eastAsia="zh-CN"/>
        </w:rPr>
        <w:t>市场</w:t>
      </w:r>
      <w:r>
        <w:rPr>
          <w:rFonts w:hint="eastAsia" w:ascii="Times New Roman" w:hAnsi="Times New Roman"/>
          <w:color w:val="auto"/>
          <w:sz w:val="28"/>
          <w:szCs w:val="28"/>
        </w:rPr>
        <w:t>月度批发结算价格高于或等于保底价格时，电能量价格=保底价格</w:t>
      </w:r>
    </w:p>
    <w:p>
      <w:pPr>
        <w:ind w:firstLine="560" w:firstLineChars="200"/>
        <w:rPr>
          <w:rFonts w:ascii="Times New Roman" w:hAnsi="Times New Roman"/>
          <w:color w:val="auto"/>
          <w:sz w:val="28"/>
          <w:szCs w:val="28"/>
        </w:rPr>
      </w:pPr>
      <w:r>
        <w:rPr>
          <w:rFonts w:hint="eastAsia" w:asciiTheme="minorEastAsia" w:hAnsiTheme="minorEastAsia" w:cstheme="minorEastAsia"/>
          <w:color w:val="auto"/>
          <w:sz w:val="28"/>
          <w:szCs w:val="28"/>
        </w:rPr>
        <w:t>当</w:t>
      </w:r>
      <w:r>
        <w:rPr>
          <w:rFonts w:hint="eastAsia" w:asciiTheme="minorEastAsia" w:hAnsiTheme="minorEastAsia" w:cstheme="minorEastAsia"/>
          <w:color w:val="auto"/>
          <w:sz w:val="28"/>
          <w:szCs w:val="28"/>
          <w:lang w:val="en-US" w:eastAsia="zh-CN"/>
        </w:rPr>
        <w:t>市场</w:t>
      </w:r>
      <w:r>
        <w:rPr>
          <w:rFonts w:hint="eastAsia" w:asciiTheme="minorEastAsia" w:hAnsiTheme="minorEastAsia" w:cstheme="minorEastAsia"/>
          <w:color w:val="auto"/>
          <w:sz w:val="28"/>
          <w:szCs w:val="28"/>
        </w:rPr>
        <w:t>月</w:t>
      </w:r>
      <w:r>
        <w:rPr>
          <w:rFonts w:hint="eastAsia" w:ascii="Times New Roman" w:hAnsi="Times New Roman"/>
          <w:color w:val="auto"/>
          <w:sz w:val="28"/>
          <w:szCs w:val="28"/>
        </w:rPr>
        <w:t>度批发结算价格低于保底价格时，电能量价格=</w:t>
      </w:r>
      <w:r>
        <w:rPr>
          <w:rFonts w:hint="eastAsia" w:ascii="Times New Roman" w:hAnsi="Times New Roman"/>
          <w:color w:val="auto"/>
          <w:sz w:val="28"/>
          <w:szCs w:val="28"/>
          <w:lang w:val="en-US" w:eastAsia="zh-CN"/>
        </w:rPr>
        <w:t>市场</w:t>
      </w:r>
      <w:r>
        <w:rPr>
          <w:rFonts w:hint="eastAsia" w:ascii="Times New Roman" w:hAnsi="Times New Roman"/>
          <w:color w:val="auto"/>
          <w:sz w:val="28"/>
          <w:szCs w:val="28"/>
        </w:rPr>
        <w:t>月度批发结算价格+</w:t>
      </w:r>
      <w:r>
        <w:rPr>
          <w:rFonts w:hint="eastAsia" w:ascii="Times New Roman" w:hAnsi="Times New Roman" w:cs="Times New Roman"/>
          <w:color w:val="auto"/>
          <w:sz w:val="28"/>
          <w:szCs w:val="28"/>
        </w:rPr>
        <w:t>（保底价格-市场月度批发结算价格）</w:t>
      </w:r>
      <w:r>
        <w:rPr>
          <w:rFonts w:hint="eastAsia" w:ascii="Times New Roman" w:hAnsi="Times New Roman"/>
          <w:color w:val="auto"/>
          <w:sz w:val="28"/>
          <w:szCs w:val="28"/>
        </w:rPr>
        <w:t>×乙方分成比例</w:t>
      </w:r>
    </w:p>
    <w:p>
      <w:pPr>
        <w:numPr>
          <w:ilvl w:val="255"/>
          <w:numId w:val="0"/>
        </w:numPr>
        <w:ind w:firstLine="560" w:firstLineChars="200"/>
        <w:rPr>
          <w:color w:val="auto"/>
        </w:rPr>
      </w:pPr>
      <w:r>
        <w:rPr>
          <w:rFonts w:hint="eastAsia" w:ascii="Times New Roman" w:hAnsi="Times New Roman"/>
          <w:color w:val="auto"/>
          <w:sz w:val="28"/>
          <w:szCs w:val="28"/>
        </w:rPr>
        <w:t>双方约定的保底价格为</w:t>
      </w:r>
      <w:r>
        <w:rPr>
          <w:rFonts w:hint="eastAsia" w:ascii="Times New Roman" w:hAnsi="Times New Roman"/>
          <w:color w:val="auto"/>
          <w:sz w:val="28"/>
          <w:szCs w:val="28"/>
          <w:u w:val="single"/>
        </w:rPr>
        <w:t xml:space="preserve">        </w:t>
      </w:r>
      <w:r>
        <w:rPr>
          <w:rFonts w:hint="eastAsia" w:ascii="Times New Roman" w:hAnsi="Times New Roman"/>
          <w:color w:val="auto"/>
          <w:sz w:val="28"/>
          <w:szCs w:val="28"/>
        </w:rPr>
        <w:t>（单位：</w:t>
      </w:r>
      <w:r>
        <w:rPr>
          <w:rFonts w:hint="eastAsia" w:ascii="宋体" w:hAnsi="宋体" w:cs="宋体"/>
          <w:color w:val="auto"/>
          <w:sz w:val="28"/>
          <w:szCs w:val="28"/>
        </w:rPr>
        <w:t>元/兆瓦时）</w:t>
      </w:r>
      <w:r>
        <w:rPr>
          <w:rFonts w:hint="eastAsia" w:ascii="Times New Roman" w:hAnsi="Times New Roman"/>
          <w:color w:val="auto"/>
          <w:sz w:val="28"/>
          <w:szCs w:val="28"/>
        </w:rPr>
        <w:t>，乙方</w:t>
      </w:r>
      <w:r>
        <w:rPr>
          <w:rFonts w:hint="eastAsia" w:asciiTheme="minorEastAsia" w:hAnsiTheme="minorEastAsia" w:cstheme="minorEastAsia"/>
          <w:bCs/>
          <w:color w:val="auto"/>
          <w:sz w:val="28"/>
          <w:szCs w:val="28"/>
        </w:rPr>
        <w:t>分成比例为</w:t>
      </w:r>
      <w:r>
        <w:rPr>
          <w:rFonts w:hint="eastAsia" w:asciiTheme="minorEastAsia" w:hAnsiTheme="minorEastAsia" w:cstheme="minorEastAsia"/>
          <w:bCs/>
          <w:color w:val="auto"/>
          <w:sz w:val="28"/>
          <w:szCs w:val="28"/>
          <w:u w:val="single"/>
        </w:rPr>
        <w:t xml:space="preserve">    </w:t>
      </w:r>
      <w:r>
        <w:rPr>
          <w:rFonts w:hint="eastAsia" w:asciiTheme="minorEastAsia" w:hAnsiTheme="minorEastAsia" w:cstheme="minorEastAsia"/>
          <w:bCs/>
          <w:color w:val="auto"/>
          <w:sz w:val="28"/>
          <w:szCs w:val="28"/>
        </w:rPr>
        <w:t>%</w:t>
      </w:r>
      <w:r>
        <w:rPr>
          <w:rFonts w:hint="eastAsia" w:ascii="Times New Roman" w:hAnsi="Times New Roman"/>
          <w:color w:val="auto"/>
          <w:sz w:val="28"/>
          <w:szCs w:val="28"/>
        </w:rPr>
        <w:t>。</w:t>
      </w:r>
    </w:p>
    <w:p>
      <w:pPr>
        <w:rPr>
          <w:rFonts w:asciiTheme="minorEastAsia" w:hAnsiTheme="minorEastAsia" w:cstheme="minorEastAsia"/>
          <w:bCs/>
          <w:color w:val="auto"/>
          <w:szCs w:val="21"/>
        </w:rPr>
      </w:pPr>
      <w:r>
        <w:rPr>
          <w:rFonts w:hint="eastAsia" w:asciiTheme="minorEastAsia" w:hAnsiTheme="minorEastAsia" w:cstheme="minorEastAsia"/>
          <w:bCs/>
          <w:color w:val="auto"/>
          <w:szCs w:val="21"/>
        </w:rPr>
        <w:t>备注：“保底价格”最多可保留</w:t>
      </w:r>
      <w:r>
        <w:rPr>
          <w:rFonts w:hint="eastAsia" w:asciiTheme="minorEastAsia" w:hAnsiTheme="minorEastAsia" w:cstheme="minorEastAsia"/>
          <w:bCs/>
          <w:color w:val="auto"/>
          <w:szCs w:val="21"/>
          <w:lang w:val="en-US" w:eastAsia="zh-CN"/>
        </w:rPr>
        <w:t>3</w:t>
      </w:r>
      <w:r>
        <w:rPr>
          <w:rFonts w:hint="eastAsia" w:asciiTheme="minorEastAsia" w:hAnsiTheme="minorEastAsia" w:cstheme="minorEastAsia"/>
          <w:bCs/>
          <w:color w:val="auto"/>
          <w:szCs w:val="21"/>
        </w:rPr>
        <w:t>位小数、“分成比例”为介于0—100%间的整数百分比。</w:t>
      </w:r>
    </w:p>
    <w:p>
      <w:pPr>
        <w:ind w:firstLine="570"/>
        <w:rPr>
          <w:rFonts w:hint="eastAsia" w:asciiTheme="minorEastAsia" w:hAnsiTheme="minorEastAsia" w:eastAsiaTheme="minorEastAsia" w:cstheme="minorEastAsia"/>
          <w:b/>
          <w:bCs w:val="0"/>
          <w:color w:val="auto"/>
          <w:sz w:val="28"/>
          <w:szCs w:val="28"/>
          <w:lang w:eastAsia="zh-CN"/>
        </w:rPr>
      </w:pPr>
      <w:r>
        <w:rPr>
          <w:rFonts w:hint="eastAsia" w:asciiTheme="minorEastAsia" w:hAnsiTheme="minorEastAsia" w:cstheme="minorEastAsia"/>
          <w:b/>
          <w:color w:val="auto"/>
          <w:sz w:val="28"/>
          <w:szCs w:val="28"/>
          <w:lang w:val="en-US" w:eastAsia="zh-CN"/>
        </w:rPr>
        <w:t>2、</w:t>
      </w:r>
      <w:r>
        <w:rPr>
          <w:rFonts w:hint="eastAsia" w:asciiTheme="minorEastAsia" w:hAnsiTheme="minorEastAsia" w:eastAsiaTheme="minorEastAsia" w:cstheme="minorEastAsia"/>
          <w:b/>
          <w:bCs w:val="0"/>
          <w:color w:val="auto"/>
          <w:sz w:val="28"/>
          <w:szCs w:val="28"/>
          <w:lang w:val="en-US" w:eastAsia="zh-CN"/>
        </w:rPr>
        <w:t>峰谷价差</w:t>
      </w:r>
      <w:r>
        <w:rPr>
          <w:rFonts w:hint="eastAsia" w:asciiTheme="minorEastAsia" w:hAnsiTheme="minorEastAsia" w:cstheme="minorEastAsia"/>
          <w:b/>
          <w:bCs w:val="0"/>
          <w:color w:val="auto"/>
          <w:sz w:val="28"/>
          <w:szCs w:val="28"/>
          <w:lang w:val="en-US" w:eastAsia="zh-CN"/>
        </w:rPr>
        <w:t>电费套餐</w:t>
      </w:r>
    </w:p>
    <w:p>
      <w:pPr>
        <w:pStyle w:val="2"/>
        <w:rPr>
          <w:rFonts w:hint="eastAsia" w:ascii="Times New Roman" w:hAnsi="Times New Roman" w:eastAsiaTheme="minorEastAsia" w:cstheme="minorBidi"/>
          <w:color w:val="auto"/>
          <w:sz w:val="28"/>
          <w:szCs w:val="28"/>
          <w:lang w:val="en-US" w:eastAsia="zh-CN"/>
        </w:rPr>
      </w:pPr>
      <w:r>
        <w:rPr>
          <w:rFonts w:hint="eastAsia" w:ascii="Times New Roman" w:hAnsi="Times New Roman" w:eastAsiaTheme="minorEastAsia" w:cstheme="minorBidi"/>
          <w:color w:val="auto"/>
          <w:sz w:val="28"/>
          <w:szCs w:val="28"/>
          <w:lang w:val="en-US" w:eastAsia="zh-CN"/>
        </w:rPr>
        <w:t>峰谷价差电费套餐是在电量电费结算套餐的基础上，增收峰段价差电费和谷段价差电费的套餐。</w:t>
      </w:r>
      <w:r>
        <w:rPr>
          <w:rFonts w:hint="eastAsia" w:ascii="Times New Roman" w:hAnsi="Times New Roman" w:eastAsiaTheme="minorEastAsia" w:cstheme="minorBidi"/>
          <w:b/>
          <w:bCs/>
          <w:color w:val="auto"/>
          <w:sz w:val="28"/>
          <w:szCs w:val="28"/>
          <w:lang w:val="en-US" w:eastAsia="zh-CN"/>
        </w:rPr>
        <w:t>该套餐仅在批发市场开展现货全月结算试运行时生效，全体零售用户可选择执行</w:t>
      </w:r>
      <w:r>
        <w:rPr>
          <w:rFonts w:hint="eastAsia" w:ascii="Times New Roman" w:hAnsi="Times New Roman" w:eastAsiaTheme="minorEastAsia" w:cstheme="minorBidi"/>
          <w:color w:val="auto"/>
          <w:sz w:val="28"/>
          <w:szCs w:val="28"/>
          <w:lang w:val="en-US" w:eastAsia="zh-CN"/>
        </w:rPr>
        <w:t>。如因未开展相关交易或交易未成交，造成某类型的峰谷价差未形成，则统一以市场计划加权峰谷价差代替。峰段价差电费=峰段电量×峰平价差，其中：峰平价差为正数。</w:t>
      </w:r>
    </w:p>
    <w:p>
      <w:pPr>
        <w:pStyle w:val="2"/>
        <w:rPr>
          <w:rFonts w:hint="eastAsia" w:ascii="Times New Roman" w:hAnsi="Times New Roman" w:eastAsiaTheme="minorEastAsia" w:cstheme="minorBidi"/>
          <w:color w:val="auto"/>
          <w:sz w:val="28"/>
          <w:szCs w:val="28"/>
          <w:lang w:val="en-US" w:eastAsia="zh-CN"/>
        </w:rPr>
      </w:pPr>
      <w:r>
        <w:rPr>
          <w:rFonts w:hint="eastAsia" w:ascii="Times New Roman" w:hAnsi="Times New Roman" w:eastAsiaTheme="minorEastAsia" w:cstheme="minorBidi"/>
          <w:color w:val="auto"/>
          <w:sz w:val="28"/>
          <w:szCs w:val="28"/>
          <w:lang w:val="en-US" w:eastAsia="zh-CN"/>
        </w:rPr>
        <w:t>谷段价差电费=谷段电量×谷平价差，其中：谷平价差为负数。</w:t>
      </w:r>
    </w:p>
    <w:p>
      <w:pPr>
        <w:ind w:firstLine="570"/>
        <w:rPr>
          <w:rFonts w:hint="eastAsia" w:ascii="Times New Roman" w:hAnsi="Times New Roman" w:eastAsiaTheme="minorEastAsia" w:cstheme="minorBidi"/>
          <w:bCs w:val="0"/>
          <w:color w:val="auto"/>
          <w:sz w:val="28"/>
          <w:szCs w:val="28"/>
        </w:rPr>
      </w:pPr>
      <w:r>
        <w:rPr>
          <w:rFonts w:hint="eastAsia" w:ascii="Times New Roman" w:hAnsi="Times New Roman" w:eastAsiaTheme="minorEastAsia" w:cstheme="minorBidi"/>
          <w:bCs w:val="0"/>
          <w:color w:val="auto"/>
          <w:sz w:val="28"/>
          <w:szCs w:val="28"/>
        </w:rPr>
        <w:t>双方约定的结算模式为</w:t>
      </w:r>
      <w:r>
        <w:rPr>
          <w:rFonts w:hint="eastAsia" w:ascii="Times New Roman" w:hAnsi="Times New Roman" w:eastAsiaTheme="minorEastAsia" w:cstheme="minorBidi"/>
          <w:bCs w:val="0"/>
          <w:color w:val="auto"/>
          <w:sz w:val="28"/>
          <w:szCs w:val="28"/>
          <w:u w:val="single"/>
        </w:rPr>
        <w:t xml:space="preserve">       </w:t>
      </w:r>
      <w:r>
        <w:rPr>
          <w:rFonts w:hint="eastAsia" w:ascii="Times New Roman" w:hAnsi="Times New Roman" w:eastAsiaTheme="minorEastAsia" w:cstheme="minorBidi"/>
          <w:bCs w:val="0"/>
          <w:color w:val="auto"/>
          <w:sz w:val="28"/>
          <w:szCs w:val="28"/>
        </w:rPr>
        <w:t>（</w:t>
      </w:r>
      <w:r>
        <w:rPr>
          <w:rFonts w:hint="eastAsia" w:ascii="Times New Roman" w:hAnsi="Times New Roman" w:cstheme="minorBidi"/>
          <w:bCs w:val="0"/>
          <w:color w:val="auto"/>
          <w:sz w:val="28"/>
          <w:szCs w:val="28"/>
          <w:lang w:eastAsia="zh-CN"/>
        </w:rPr>
        <w:t>“</w:t>
      </w:r>
      <w:r>
        <w:rPr>
          <w:rFonts w:hint="eastAsia" w:ascii="Times New Roman" w:hAnsi="Times New Roman" w:eastAsiaTheme="minorEastAsia" w:cstheme="minorBidi"/>
          <w:b w:val="0"/>
          <w:bCs w:val="0"/>
          <w:color w:val="auto"/>
          <w:sz w:val="28"/>
          <w:szCs w:val="28"/>
          <w:lang w:eastAsia="zh-CN"/>
        </w:rPr>
        <w:t>市场</w:t>
      </w:r>
      <w:r>
        <w:rPr>
          <w:rFonts w:hint="eastAsia" w:ascii="Times New Roman" w:hAnsi="Times New Roman" w:eastAsiaTheme="minorEastAsia" w:cstheme="minorBidi"/>
          <w:color w:val="auto"/>
          <w:sz w:val="28"/>
          <w:szCs w:val="28"/>
        </w:rPr>
        <w:t>计划加权</w:t>
      </w:r>
      <w:r>
        <w:rPr>
          <w:rFonts w:hint="eastAsia" w:ascii="Times New Roman" w:hAnsi="Times New Roman" w:cstheme="minorBidi"/>
          <w:color w:val="auto"/>
          <w:sz w:val="28"/>
          <w:szCs w:val="28"/>
          <w:lang w:val="en-US" w:eastAsia="zh-CN"/>
        </w:rPr>
        <w:t>峰谷</w:t>
      </w:r>
      <w:r>
        <w:rPr>
          <w:rFonts w:hint="eastAsia" w:ascii="Times New Roman" w:hAnsi="Times New Roman" w:eastAsiaTheme="minorEastAsia" w:cstheme="minorBidi"/>
          <w:color w:val="auto"/>
          <w:sz w:val="28"/>
          <w:szCs w:val="28"/>
          <w:lang w:val="en-US" w:eastAsia="zh-CN"/>
        </w:rPr>
        <w:t>价差</w:t>
      </w:r>
      <w:r>
        <w:rPr>
          <w:rFonts w:hint="eastAsia" w:ascii="Times New Roman" w:hAnsi="Times New Roman" w:cstheme="minorBidi"/>
          <w:bCs w:val="0"/>
          <w:color w:val="auto"/>
          <w:sz w:val="28"/>
          <w:szCs w:val="28"/>
          <w:lang w:eastAsia="zh-CN"/>
        </w:rPr>
        <w:t>”、“市场月度集中交易峰谷价差”、“</w:t>
      </w:r>
      <w:r>
        <w:rPr>
          <w:rFonts w:hint="eastAsia" w:ascii="Times New Roman" w:hAnsi="Times New Roman" w:eastAsiaTheme="minorEastAsia" w:cstheme="minorBidi"/>
          <w:color w:val="auto"/>
          <w:sz w:val="28"/>
          <w:szCs w:val="28"/>
        </w:rPr>
        <w:t>市场月度</w:t>
      </w:r>
      <w:r>
        <w:rPr>
          <w:rFonts w:hint="eastAsia" w:ascii="Times New Roman" w:hAnsi="Times New Roman" w:eastAsiaTheme="minorEastAsia" w:cstheme="minorBidi"/>
          <w:color w:val="auto"/>
          <w:sz w:val="28"/>
          <w:szCs w:val="28"/>
          <w:lang w:eastAsia="zh-CN"/>
        </w:rPr>
        <w:t>、月内</w:t>
      </w:r>
      <w:r>
        <w:rPr>
          <w:rFonts w:hint="eastAsia" w:ascii="Times New Roman" w:hAnsi="Times New Roman" w:eastAsiaTheme="minorEastAsia" w:cstheme="minorBidi"/>
          <w:color w:val="auto"/>
          <w:sz w:val="28"/>
          <w:szCs w:val="28"/>
        </w:rPr>
        <w:t>集中交易</w:t>
      </w:r>
      <w:r>
        <w:rPr>
          <w:rFonts w:hint="eastAsia" w:ascii="Times New Roman" w:hAnsi="Times New Roman" w:cstheme="minorBidi"/>
          <w:color w:val="auto"/>
          <w:sz w:val="28"/>
          <w:szCs w:val="28"/>
          <w:lang w:eastAsia="zh-CN"/>
        </w:rPr>
        <w:t>峰谷价差</w:t>
      </w:r>
      <w:r>
        <w:rPr>
          <w:rFonts w:hint="eastAsia" w:ascii="Times New Roman" w:hAnsi="Times New Roman" w:cstheme="minorBidi"/>
          <w:bCs w:val="0"/>
          <w:color w:val="auto"/>
          <w:sz w:val="28"/>
          <w:szCs w:val="28"/>
          <w:lang w:eastAsia="zh-CN"/>
        </w:rPr>
        <w:t>”、“年度市场电量交易月度峰谷价差”、“</w:t>
      </w:r>
      <w:r>
        <w:rPr>
          <w:rFonts w:hint="eastAsia" w:ascii="Times New Roman" w:hAnsi="Times New Roman" w:eastAsiaTheme="minorEastAsia" w:cstheme="minorBidi"/>
          <w:b w:val="0"/>
          <w:bCs w:val="0"/>
          <w:color w:val="auto"/>
          <w:sz w:val="28"/>
          <w:szCs w:val="28"/>
          <w:lang w:eastAsia="zh-CN"/>
        </w:rPr>
        <w:t>市场</w:t>
      </w:r>
      <w:r>
        <w:rPr>
          <w:rFonts w:hint="eastAsia" w:ascii="Times New Roman" w:hAnsi="Times New Roman" w:cstheme="minorBidi"/>
          <w:color w:val="auto"/>
          <w:sz w:val="28"/>
          <w:szCs w:val="28"/>
          <w:lang w:val="en-US" w:eastAsia="zh-CN"/>
        </w:rPr>
        <w:t>月度批发结算峰谷</w:t>
      </w:r>
      <w:r>
        <w:rPr>
          <w:rFonts w:hint="eastAsia" w:ascii="Times New Roman" w:hAnsi="Times New Roman" w:eastAsiaTheme="minorEastAsia" w:cstheme="minorBidi"/>
          <w:color w:val="auto"/>
          <w:sz w:val="28"/>
          <w:szCs w:val="28"/>
          <w:lang w:val="en-US" w:eastAsia="zh-CN"/>
        </w:rPr>
        <w:t>价差</w:t>
      </w:r>
      <w:r>
        <w:rPr>
          <w:rFonts w:hint="eastAsia" w:ascii="Times New Roman" w:hAnsi="Times New Roman" w:cstheme="minorBidi"/>
          <w:bCs w:val="0"/>
          <w:color w:val="auto"/>
          <w:sz w:val="28"/>
          <w:szCs w:val="28"/>
          <w:lang w:eastAsia="zh-CN"/>
        </w:rPr>
        <w:t>”</w:t>
      </w:r>
      <w:r>
        <w:rPr>
          <w:rFonts w:hint="eastAsia" w:ascii="Times New Roman" w:hAnsi="Times New Roman" w:eastAsiaTheme="minorEastAsia" w:cstheme="minorBidi"/>
          <w:bCs w:val="0"/>
          <w:color w:val="auto"/>
          <w:sz w:val="28"/>
          <w:szCs w:val="28"/>
        </w:rPr>
        <w:t>，任选其一）。</w:t>
      </w:r>
    </w:p>
    <w:p>
      <w:pPr>
        <w:pStyle w:val="2"/>
        <w:rPr>
          <w:rFonts w:hint="eastAsia" w:ascii="Times New Roman" w:hAnsi="Times New Roman" w:eastAsiaTheme="minorEastAsia" w:cstheme="minorBidi"/>
          <w:b w:val="0"/>
          <w:color w:val="auto"/>
          <w:sz w:val="28"/>
          <w:szCs w:val="28"/>
          <w:lang w:val="en-US" w:eastAsia="zh-CN"/>
        </w:rPr>
      </w:pPr>
      <w:r>
        <w:rPr>
          <w:rFonts w:hint="eastAsia" w:ascii="Times New Roman" w:hAnsi="Times New Roman" w:eastAsiaTheme="minorEastAsia" w:cstheme="minorBidi"/>
          <w:bCs w:val="0"/>
          <w:color w:val="auto"/>
          <w:sz w:val="28"/>
          <w:szCs w:val="28"/>
          <w:lang w:eastAsia="zh-CN"/>
        </w:rPr>
        <w:t>（</w:t>
      </w:r>
      <w:r>
        <w:rPr>
          <w:rFonts w:hint="eastAsia" w:ascii="Times New Roman" w:hAnsi="Times New Roman" w:eastAsiaTheme="minorEastAsia" w:cstheme="minorBidi"/>
          <w:bCs w:val="0"/>
          <w:color w:val="auto"/>
          <w:sz w:val="28"/>
          <w:szCs w:val="28"/>
          <w:lang w:val="en-US" w:eastAsia="zh-CN"/>
        </w:rPr>
        <w:t>1</w:t>
      </w:r>
      <w:r>
        <w:rPr>
          <w:rFonts w:hint="eastAsia" w:ascii="Times New Roman" w:hAnsi="Times New Roman" w:eastAsiaTheme="minorEastAsia" w:cstheme="minorBidi"/>
          <w:bCs w:val="0"/>
          <w:color w:val="auto"/>
          <w:sz w:val="28"/>
          <w:szCs w:val="28"/>
          <w:lang w:eastAsia="zh-CN"/>
        </w:rPr>
        <w:t>）</w:t>
      </w:r>
      <w:r>
        <w:rPr>
          <w:rFonts w:hint="eastAsia" w:ascii="Times New Roman" w:hAnsi="Times New Roman" w:eastAsiaTheme="minorEastAsia" w:cstheme="minorBidi"/>
          <w:b w:val="0"/>
          <w:bCs w:val="0"/>
          <w:color w:val="auto"/>
          <w:sz w:val="28"/>
          <w:szCs w:val="28"/>
          <w:lang w:eastAsia="zh-CN"/>
        </w:rPr>
        <w:t>市场</w:t>
      </w:r>
      <w:r>
        <w:rPr>
          <w:rFonts w:hint="eastAsia" w:ascii="Times New Roman" w:hAnsi="Times New Roman" w:eastAsiaTheme="minorEastAsia" w:cstheme="minorBidi"/>
          <w:color w:val="auto"/>
          <w:sz w:val="28"/>
          <w:szCs w:val="28"/>
        </w:rPr>
        <w:t>计划加权</w:t>
      </w:r>
      <w:r>
        <w:rPr>
          <w:rFonts w:hint="eastAsia" w:ascii="Times New Roman" w:hAnsi="Times New Roman" w:eastAsiaTheme="minorEastAsia" w:cstheme="minorBidi"/>
          <w:color w:val="auto"/>
          <w:sz w:val="28"/>
          <w:szCs w:val="28"/>
          <w:lang w:val="en-US" w:eastAsia="zh-CN"/>
        </w:rPr>
        <w:t>峰谷价差</w:t>
      </w:r>
    </w:p>
    <w:p>
      <w:pPr>
        <w:ind w:firstLine="570"/>
        <w:rPr>
          <w:rFonts w:hint="eastAsia" w:ascii="Times New Roman" w:hAnsi="Times New Roman" w:cstheme="minorBidi"/>
          <w:color w:val="auto"/>
          <w:sz w:val="28"/>
          <w:szCs w:val="28"/>
          <w:lang w:eastAsia="zh-CN"/>
        </w:rPr>
      </w:pPr>
      <w:r>
        <w:rPr>
          <w:rFonts w:hint="eastAsia" w:ascii="Times New Roman" w:hAnsi="Times New Roman" w:eastAsiaTheme="minorEastAsia" w:cstheme="minorBidi"/>
          <w:b w:val="0"/>
          <w:bCs w:val="0"/>
          <w:color w:val="auto"/>
          <w:sz w:val="28"/>
          <w:szCs w:val="28"/>
          <w:lang w:eastAsia="zh-CN"/>
        </w:rPr>
        <w:t>市场</w:t>
      </w:r>
      <w:r>
        <w:rPr>
          <w:rFonts w:hint="eastAsia" w:ascii="Times New Roman" w:hAnsi="Times New Roman" w:eastAsiaTheme="minorEastAsia" w:cstheme="minorBidi"/>
          <w:color w:val="auto"/>
          <w:sz w:val="28"/>
          <w:szCs w:val="28"/>
        </w:rPr>
        <w:t>计划加权</w:t>
      </w:r>
      <w:r>
        <w:rPr>
          <w:rFonts w:hint="eastAsia" w:ascii="Times New Roman" w:hAnsi="Times New Roman" w:eastAsiaTheme="minorEastAsia" w:cstheme="minorBidi"/>
          <w:color w:val="auto"/>
          <w:sz w:val="28"/>
          <w:szCs w:val="28"/>
          <w:lang w:val="en-US" w:eastAsia="zh-CN"/>
        </w:rPr>
        <w:t>峰平价差</w:t>
      </w:r>
      <w:r>
        <w:rPr>
          <w:rFonts w:hint="eastAsia" w:ascii="Times New Roman" w:hAnsi="Times New Roman" w:cstheme="minorBidi"/>
          <w:color w:val="auto"/>
          <w:sz w:val="28"/>
          <w:szCs w:val="28"/>
          <w:lang w:val="en-US" w:eastAsia="zh-CN"/>
        </w:rPr>
        <w:t>=</w:t>
      </w:r>
      <w:r>
        <w:rPr>
          <w:rFonts w:hint="eastAsia" w:ascii="Times New Roman" w:hAnsi="Times New Roman" w:eastAsiaTheme="minorEastAsia" w:cstheme="minorBidi"/>
          <w:b w:val="0"/>
          <w:bCs w:val="0"/>
          <w:color w:val="auto"/>
          <w:sz w:val="28"/>
          <w:szCs w:val="28"/>
          <w:lang w:eastAsia="zh-CN"/>
        </w:rPr>
        <w:t>市场</w:t>
      </w:r>
      <w:r>
        <w:rPr>
          <w:rFonts w:hint="eastAsia" w:ascii="Times New Roman" w:hAnsi="Times New Roman" w:eastAsiaTheme="minorEastAsia" w:cstheme="minorBidi"/>
          <w:color w:val="auto"/>
          <w:sz w:val="28"/>
          <w:szCs w:val="28"/>
        </w:rPr>
        <w:t>计划</w:t>
      </w:r>
      <w:r>
        <w:rPr>
          <w:rFonts w:hint="eastAsia" w:ascii="Times New Roman" w:hAnsi="Times New Roman" w:cstheme="minorBidi"/>
          <w:color w:val="auto"/>
          <w:sz w:val="28"/>
          <w:szCs w:val="28"/>
          <w:lang w:val="en-US" w:eastAsia="zh-CN"/>
        </w:rPr>
        <w:t>峰段</w:t>
      </w:r>
      <w:r>
        <w:rPr>
          <w:rFonts w:hint="eastAsia" w:ascii="Times New Roman" w:hAnsi="Times New Roman" w:eastAsiaTheme="minorEastAsia" w:cstheme="minorBidi"/>
          <w:color w:val="auto"/>
          <w:sz w:val="28"/>
          <w:szCs w:val="28"/>
        </w:rPr>
        <w:t>加权</w:t>
      </w:r>
      <w:r>
        <w:rPr>
          <w:rFonts w:hint="eastAsia" w:ascii="Times New Roman" w:hAnsi="Times New Roman" w:cstheme="minorBidi"/>
          <w:color w:val="auto"/>
          <w:sz w:val="28"/>
          <w:szCs w:val="28"/>
          <w:lang w:val="en-US" w:eastAsia="zh-CN"/>
        </w:rPr>
        <w:t>平均价格-</w:t>
      </w:r>
      <w:r>
        <w:rPr>
          <w:rFonts w:hint="eastAsia" w:ascii="Times New Roman" w:hAnsi="Times New Roman" w:eastAsiaTheme="minorEastAsia" w:cstheme="minorBidi"/>
          <w:b w:val="0"/>
          <w:bCs w:val="0"/>
          <w:color w:val="auto"/>
          <w:sz w:val="28"/>
          <w:szCs w:val="28"/>
          <w:lang w:eastAsia="zh-CN"/>
        </w:rPr>
        <w:t>市场</w:t>
      </w:r>
      <w:r>
        <w:rPr>
          <w:rFonts w:hint="eastAsia" w:ascii="Times New Roman" w:hAnsi="Times New Roman" w:eastAsiaTheme="minorEastAsia" w:cstheme="minorBidi"/>
          <w:color w:val="auto"/>
          <w:sz w:val="28"/>
          <w:szCs w:val="28"/>
        </w:rPr>
        <w:t>计划</w:t>
      </w:r>
      <w:r>
        <w:rPr>
          <w:rFonts w:hint="eastAsia" w:ascii="Times New Roman" w:hAnsi="Times New Roman" w:cstheme="minorBidi"/>
          <w:color w:val="auto"/>
          <w:sz w:val="28"/>
          <w:szCs w:val="28"/>
          <w:lang w:val="en-US" w:eastAsia="zh-CN"/>
        </w:rPr>
        <w:t>平段</w:t>
      </w:r>
      <w:r>
        <w:rPr>
          <w:rFonts w:hint="eastAsia" w:ascii="Times New Roman" w:hAnsi="Times New Roman" w:eastAsiaTheme="minorEastAsia" w:cstheme="minorBidi"/>
          <w:color w:val="auto"/>
          <w:sz w:val="28"/>
          <w:szCs w:val="28"/>
        </w:rPr>
        <w:t>加权</w:t>
      </w:r>
      <w:r>
        <w:rPr>
          <w:rFonts w:hint="eastAsia" w:ascii="Times New Roman" w:hAnsi="Times New Roman" w:cstheme="minorBidi"/>
          <w:color w:val="auto"/>
          <w:sz w:val="28"/>
          <w:szCs w:val="28"/>
          <w:lang w:val="en-US" w:eastAsia="zh-CN"/>
        </w:rPr>
        <w:t>平均价格</w:t>
      </w:r>
      <w:r>
        <w:rPr>
          <w:rFonts w:hint="eastAsia" w:ascii="Times New Roman" w:hAnsi="Times New Roman" w:cstheme="minorBidi"/>
          <w:color w:val="auto"/>
          <w:sz w:val="28"/>
          <w:szCs w:val="28"/>
          <w:lang w:eastAsia="zh-CN"/>
        </w:rPr>
        <w:t>；</w:t>
      </w:r>
    </w:p>
    <w:p>
      <w:pPr>
        <w:ind w:firstLine="570"/>
        <w:rPr>
          <w:rFonts w:hint="eastAsia" w:ascii="Times New Roman" w:hAnsi="Times New Roman" w:cstheme="minorBidi"/>
          <w:color w:val="auto"/>
          <w:sz w:val="28"/>
          <w:szCs w:val="28"/>
          <w:lang w:eastAsia="zh-CN"/>
        </w:rPr>
      </w:pPr>
      <w:r>
        <w:rPr>
          <w:rFonts w:hint="eastAsia" w:ascii="Times New Roman" w:hAnsi="Times New Roman" w:eastAsiaTheme="minorEastAsia" w:cstheme="minorBidi"/>
          <w:b w:val="0"/>
          <w:bCs w:val="0"/>
          <w:color w:val="auto"/>
          <w:sz w:val="28"/>
          <w:szCs w:val="28"/>
          <w:lang w:eastAsia="zh-CN"/>
        </w:rPr>
        <w:t>市场</w:t>
      </w:r>
      <w:r>
        <w:rPr>
          <w:rFonts w:hint="eastAsia" w:ascii="Times New Roman" w:hAnsi="Times New Roman" w:eastAsiaTheme="minorEastAsia" w:cstheme="minorBidi"/>
          <w:color w:val="auto"/>
          <w:sz w:val="28"/>
          <w:szCs w:val="28"/>
        </w:rPr>
        <w:t>计划加权</w:t>
      </w:r>
      <w:r>
        <w:rPr>
          <w:rFonts w:hint="eastAsia" w:ascii="Times New Roman" w:hAnsi="Times New Roman" w:cstheme="minorBidi"/>
          <w:color w:val="auto"/>
          <w:sz w:val="28"/>
          <w:szCs w:val="28"/>
          <w:lang w:val="en-US" w:eastAsia="zh-CN"/>
        </w:rPr>
        <w:t>谷平</w:t>
      </w:r>
      <w:r>
        <w:rPr>
          <w:rFonts w:hint="eastAsia" w:ascii="Times New Roman" w:hAnsi="Times New Roman" w:eastAsiaTheme="minorEastAsia" w:cstheme="minorBidi"/>
          <w:color w:val="auto"/>
          <w:sz w:val="28"/>
          <w:szCs w:val="28"/>
          <w:lang w:val="en-US" w:eastAsia="zh-CN"/>
        </w:rPr>
        <w:t>价差</w:t>
      </w:r>
      <w:r>
        <w:rPr>
          <w:rFonts w:hint="eastAsia" w:ascii="Times New Roman" w:hAnsi="Times New Roman" w:cstheme="minorBidi"/>
          <w:color w:val="auto"/>
          <w:sz w:val="28"/>
          <w:szCs w:val="28"/>
          <w:lang w:val="en-US" w:eastAsia="zh-CN"/>
        </w:rPr>
        <w:t>=</w:t>
      </w:r>
      <w:r>
        <w:rPr>
          <w:rFonts w:hint="eastAsia" w:ascii="Times New Roman" w:hAnsi="Times New Roman" w:eastAsiaTheme="minorEastAsia" w:cstheme="minorBidi"/>
          <w:b w:val="0"/>
          <w:bCs w:val="0"/>
          <w:color w:val="auto"/>
          <w:sz w:val="28"/>
          <w:szCs w:val="28"/>
          <w:lang w:eastAsia="zh-CN"/>
        </w:rPr>
        <w:t>市场</w:t>
      </w:r>
      <w:r>
        <w:rPr>
          <w:rFonts w:hint="eastAsia" w:ascii="Times New Roman" w:hAnsi="Times New Roman" w:eastAsiaTheme="minorEastAsia" w:cstheme="minorBidi"/>
          <w:color w:val="auto"/>
          <w:sz w:val="28"/>
          <w:szCs w:val="28"/>
        </w:rPr>
        <w:t>计划</w:t>
      </w:r>
      <w:r>
        <w:rPr>
          <w:rFonts w:hint="eastAsia" w:ascii="Times New Roman" w:hAnsi="Times New Roman" w:cstheme="minorBidi"/>
          <w:color w:val="auto"/>
          <w:sz w:val="28"/>
          <w:szCs w:val="28"/>
          <w:lang w:val="en-US" w:eastAsia="zh-CN"/>
        </w:rPr>
        <w:t>谷段</w:t>
      </w:r>
      <w:r>
        <w:rPr>
          <w:rFonts w:hint="eastAsia" w:ascii="Times New Roman" w:hAnsi="Times New Roman" w:eastAsiaTheme="minorEastAsia" w:cstheme="minorBidi"/>
          <w:color w:val="auto"/>
          <w:sz w:val="28"/>
          <w:szCs w:val="28"/>
        </w:rPr>
        <w:t>加权</w:t>
      </w:r>
      <w:r>
        <w:rPr>
          <w:rFonts w:hint="eastAsia" w:ascii="Times New Roman" w:hAnsi="Times New Roman" w:cstheme="minorBidi"/>
          <w:color w:val="auto"/>
          <w:sz w:val="28"/>
          <w:szCs w:val="28"/>
          <w:lang w:val="en-US" w:eastAsia="zh-CN"/>
        </w:rPr>
        <w:t>平均价格-</w:t>
      </w:r>
      <w:r>
        <w:rPr>
          <w:rFonts w:hint="eastAsia" w:ascii="Times New Roman" w:hAnsi="Times New Roman" w:eastAsiaTheme="minorEastAsia" w:cstheme="minorBidi"/>
          <w:b w:val="0"/>
          <w:bCs w:val="0"/>
          <w:color w:val="auto"/>
          <w:sz w:val="28"/>
          <w:szCs w:val="28"/>
          <w:lang w:eastAsia="zh-CN"/>
        </w:rPr>
        <w:t>市场</w:t>
      </w:r>
      <w:r>
        <w:rPr>
          <w:rFonts w:hint="eastAsia" w:ascii="Times New Roman" w:hAnsi="Times New Roman" w:eastAsiaTheme="minorEastAsia" w:cstheme="minorBidi"/>
          <w:color w:val="auto"/>
          <w:sz w:val="28"/>
          <w:szCs w:val="28"/>
        </w:rPr>
        <w:t>计划</w:t>
      </w:r>
      <w:r>
        <w:rPr>
          <w:rFonts w:hint="eastAsia" w:ascii="Times New Roman" w:hAnsi="Times New Roman" w:cstheme="minorBidi"/>
          <w:color w:val="auto"/>
          <w:sz w:val="28"/>
          <w:szCs w:val="28"/>
          <w:lang w:val="en-US" w:eastAsia="zh-CN"/>
        </w:rPr>
        <w:t>平段</w:t>
      </w:r>
      <w:r>
        <w:rPr>
          <w:rFonts w:hint="eastAsia" w:ascii="Times New Roman" w:hAnsi="Times New Roman" w:eastAsiaTheme="minorEastAsia" w:cstheme="minorBidi"/>
          <w:color w:val="auto"/>
          <w:sz w:val="28"/>
          <w:szCs w:val="28"/>
        </w:rPr>
        <w:t>加权</w:t>
      </w:r>
      <w:r>
        <w:rPr>
          <w:rFonts w:hint="eastAsia" w:ascii="Times New Roman" w:hAnsi="Times New Roman" w:cstheme="minorBidi"/>
          <w:color w:val="auto"/>
          <w:sz w:val="28"/>
          <w:szCs w:val="28"/>
          <w:lang w:val="en-US" w:eastAsia="zh-CN"/>
        </w:rPr>
        <w:t>平均价格</w:t>
      </w:r>
      <w:r>
        <w:rPr>
          <w:rFonts w:hint="eastAsia" w:ascii="Times New Roman" w:hAnsi="Times New Roman" w:cstheme="minorBidi"/>
          <w:color w:val="auto"/>
          <w:sz w:val="28"/>
          <w:szCs w:val="28"/>
          <w:lang w:eastAsia="zh-CN"/>
        </w:rPr>
        <w:t>。</w:t>
      </w:r>
    </w:p>
    <w:p>
      <w:pPr>
        <w:pStyle w:val="2"/>
        <w:rPr>
          <w:rFonts w:hint="default" w:ascii="Times New Roman" w:hAnsi="Times New Roman" w:cstheme="minorBidi"/>
          <w:color w:val="auto"/>
          <w:sz w:val="28"/>
          <w:szCs w:val="28"/>
          <w:lang w:val="en-US" w:eastAsia="zh-CN"/>
        </w:rPr>
      </w:pPr>
      <w:r>
        <w:rPr>
          <w:rFonts w:hint="eastAsia" w:ascii="Times New Roman" w:hAnsi="Times New Roman" w:cstheme="minorBidi"/>
          <w:color w:val="auto"/>
          <w:sz w:val="28"/>
          <w:szCs w:val="28"/>
          <w:lang w:eastAsia="zh-CN"/>
        </w:rPr>
        <w:t>（</w:t>
      </w:r>
      <w:r>
        <w:rPr>
          <w:rFonts w:hint="eastAsia" w:ascii="Times New Roman" w:hAnsi="Times New Roman" w:cstheme="minorBidi"/>
          <w:color w:val="auto"/>
          <w:sz w:val="28"/>
          <w:szCs w:val="28"/>
          <w:lang w:val="en-US" w:eastAsia="zh-CN"/>
        </w:rPr>
        <w:t>2</w:t>
      </w:r>
      <w:r>
        <w:rPr>
          <w:rFonts w:hint="eastAsia" w:ascii="Times New Roman" w:hAnsi="Times New Roman" w:cstheme="minorBidi"/>
          <w:color w:val="auto"/>
          <w:sz w:val="28"/>
          <w:szCs w:val="28"/>
          <w:lang w:eastAsia="zh-CN"/>
        </w:rPr>
        <w:t>）</w:t>
      </w:r>
      <w:r>
        <w:rPr>
          <w:rFonts w:hint="eastAsia" w:ascii="Times New Roman" w:hAnsi="Times New Roman" w:eastAsiaTheme="minorEastAsia" w:cstheme="minorBidi"/>
          <w:bCs w:val="0"/>
          <w:color w:val="auto"/>
          <w:sz w:val="28"/>
          <w:szCs w:val="28"/>
          <w:lang w:eastAsia="zh-CN"/>
        </w:rPr>
        <w:t>市场月度集中交易峰谷价差</w:t>
      </w:r>
    </w:p>
    <w:p>
      <w:pPr>
        <w:spacing w:line="580" w:lineRule="exact"/>
        <w:ind w:firstLine="570"/>
        <w:rPr>
          <w:rFonts w:hint="eastAsia" w:ascii="Times New Roman" w:hAnsi="Times New Roman" w:cstheme="minorBidi"/>
          <w:color w:val="auto"/>
          <w:sz w:val="28"/>
          <w:szCs w:val="28"/>
          <w:lang w:val="en-US" w:eastAsia="zh-CN"/>
        </w:rPr>
      </w:pPr>
      <w:r>
        <w:rPr>
          <w:rFonts w:hint="eastAsia" w:ascii="Times New Roman" w:hAnsi="Times New Roman" w:eastAsiaTheme="minorEastAsia" w:cstheme="minorBidi"/>
          <w:b w:val="0"/>
          <w:bCs w:val="0"/>
          <w:color w:val="auto"/>
          <w:sz w:val="28"/>
          <w:szCs w:val="28"/>
          <w:lang w:eastAsia="zh-CN"/>
        </w:rPr>
        <w:t>市场</w:t>
      </w:r>
      <w:r>
        <w:rPr>
          <w:rFonts w:hint="eastAsia" w:ascii="Times New Roman" w:hAnsi="Times New Roman" w:eastAsiaTheme="minorEastAsia" w:cstheme="minorBidi"/>
          <w:color w:val="auto"/>
          <w:sz w:val="28"/>
          <w:szCs w:val="28"/>
        </w:rPr>
        <w:t>月度集中</w:t>
      </w:r>
      <w:r>
        <w:rPr>
          <w:rFonts w:hint="eastAsia" w:ascii="Times New Roman" w:hAnsi="Times New Roman" w:eastAsiaTheme="minorEastAsia" w:cstheme="minorBidi"/>
          <w:color w:val="auto"/>
          <w:sz w:val="28"/>
          <w:szCs w:val="28"/>
          <w:lang w:eastAsia="zh-CN"/>
        </w:rPr>
        <w:t>交易</w:t>
      </w:r>
      <w:r>
        <w:rPr>
          <w:rFonts w:hint="eastAsia" w:ascii="Times New Roman" w:hAnsi="Times New Roman" w:eastAsiaTheme="minorEastAsia" w:cstheme="minorBidi"/>
          <w:color w:val="auto"/>
          <w:sz w:val="28"/>
          <w:szCs w:val="28"/>
          <w:lang w:val="en-US" w:eastAsia="zh-CN"/>
        </w:rPr>
        <w:t>峰平价差</w:t>
      </w:r>
      <w:r>
        <w:rPr>
          <w:rFonts w:hint="eastAsia" w:ascii="Times New Roman" w:hAnsi="Times New Roman" w:cstheme="minorBidi"/>
          <w:color w:val="auto"/>
          <w:sz w:val="28"/>
          <w:szCs w:val="28"/>
          <w:lang w:val="en-US" w:eastAsia="zh-CN"/>
        </w:rPr>
        <w:t>=</w:t>
      </w:r>
      <w:r>
        <w:rPr>
          <w:rFonts w:hint="eastAsia" w:ascii="Times New Roman" w:hAnsi="Times New Roman" w:eastAsiaTheme="minorEastAsia" w:cstheme="minorBidi"/>
          <w:b w:val="0"/>
          <w:bCs w:val="0"/>
          <w:color w:val="auto"/>
          <w:sz w:val="28"/>
          <w:szCs w:val="28"/>
          <w:lang w:eastAsia="zh-CN"/>
        </w:rPr>
        <w:t>市场</w:t>
      </w:r>
      <w:r>
        <w:rPr>
          <w:rFonts w:hint="eastAsia" w:ascii="Times New Roman" w:hAnsi="Times New Roman" w:eastAsiaTheme="minorEastAsia" w:cstheme="minorBidi"/>
          <w:color w:val="auto"/>
          <w:sz w:val="28"/>
          <w:szCs w:val="28"/>
        </w:rPr>
        <w:t>月度集中</w:t>
      </w:r>
      <w:r>
        <w:rPr>
          <w:rFonts w:hint="eastAsia" w:ascii="Times New Roman" w:hAnsi="Times New Roman" w:eastAsiaTheme="minorEastAsia" w:cstheme="minorBidi"/>
          <w:color w:val="auto"/>
          <w:sz w:val="28"/>
          <w:szCs w:val="28"/>
          <w:lang w:eastAsia="zh-CN"/>
        </w:rPr>
        <w:t>交易</w:t>
      </w:r>
      <w:r>
        <w:rPr>
          <w:rFonts w:hint="eastAsia" w:ascii="Times New Roman" w:hAnsi="Times New Roman" w:cstheme="minorBidi"/>
          <w:color w:val="auto"/>
          <w:sz w:val="28"/>
          <w:szCs w:val="28"/>
          <w:lang w:val="en-US" w:eastAsia="zh-CN"/>
        </w:rPr>
        <w:t>峰段平均价格-</w:t>
      </w:r>
      <w:r>
        <w:rPr>
          <w:rFonts w:hint="eastAsia" w:ascii="Times New Roman" w:hAnsi="Times New Roman" w:eastAsiaTheme="minorEastAsia" w:cstheme="minorBidi"/>
          <w:b w:val="0"/>
          <w:bCs w:val="0"/>
          <w:color w:val="auto"/>
          <w:sz w:val="28"/>
          <w:szCs w:val="28"/>
          <w:lang w:eastAsia="zh-CN"/>
        </w:rPr>
        <w:t>市场</w:t>
      </w:r>
      <w:r>
        <w:rPr>
          <w:rFonts w:hint="eastAsia" w:ascii="Times New Roman" w:hAnsi="Times New Roman" w:eastAsiaTheme="minorEastAsia" w:cstheme="minorBidi"/>
          <w:color w:val="auto"/>
          <w:sz w:val="28"/>
          <w:szCs w:val="28"/>
        </w:rPr>
        <w:t>月度集中</w:t>
      </w:r>
      <w:r>
        <w:rPr>
          <w:rFonts w:hint="eastAsia" w:ascii="Times New Roman" w:hAnsi="Times New Roman" w:eastAsiaTheme="minorEastAsia" w:cstheme="minorBidi"/>
          <w:color w:val="auto"/>
          <w:sz w:val="28"/>
          <w:szCs w:val="28"/>
          <w:lang w:eastAsia="zh-CN"/>
        </w:rPr>
        <w:t>交易</w:t>
      </w:r>
      <w:r>
        <w:rPr>
          <w:rFonts w:hint="eastAsia" w:ascii="Times New Roman" w:hAnsi="Times New Roman" w:cstheme="minorBidi"/>
          <w:color w:val="auto"/>
          <w:sz w:val="28"/>
          <w:szCs w:val="28"/>
          <w:lang w:val="en-US" w:eastAsia="zh-CN"/>
        </w:rPr>
        <w:t>平段平均价格；</w:t>
      </w:r>
    </w:p>
    <w:p>
      <w:pPr>
        <w:spacing w:line="580" w:lineRule="exact"/>
        <w:ind w:firstLine="570"/>
        <w:rPr>
          <w:rFonts w:hint="eastAsia" w:ascii="Times New Roman" w:hAnsi="Times New Roman" w:cstheme="minorBidi"/>
          <w:color w:val="auto"/>
          <w:sz w:val="28"/>
          <w:szCs w:val="28"/>
          <w:lang w:eastAsia="zh-CN"/>
        </w:rPr>
      </w:pPr>
      <w:r>
        <w:rPr>
          <w:rFonts w:hint="eastAsia" w:ascii="Times New Roman" w:hAnsi="Times New Roman" w:eastAsiaTheme="minorEastAsia" w:cstheme="minorBidi"/>
          <w:b w:val="0"/>
          <w:bCs w:val="0"/>
          <w:color w:val="auto"/>
          <w:sz w:val="28"/>
          <w:szCs w:val="28"/>
          <w:lang w:eastAsia="zh-CN"/>
        </w:rPr>
        <w:t>市场</w:t>
      </w:r>
      <w:r>
        <w:rPr>
          <w:rFonts w:hint="eastAsia" w:ascii="Times New Roman" w:hAnsi="Times New Roman" w:eastAsiaTheme="minorEastAsia" w:cstheme="minorBidi"/>
          <w:color w:val="auto"/>
          <w:sz w:val="28"/>
          <w:szCs w:val="28"/>
        </w:rPr>
        <w:t>月度集中</w:t>
      </w:r>
      <w:r>
        <w:rPr>
          <w:rFonts w:hint="eastAsia" w:ascii="Times New Roman" w:hAnsi="Times New Roman" w:eastAsiaTheme="minorEastAsia" w:cstheme="minorBidi"/>
          <w:color w:val="auto"/>
          <w:sz w:val="28"/>
          <w:szCs w:val="28"/>
          <w:lang w:eastAsia="zh-CN"/>
        </w:rPr>
        <w:t>交易</w:t>
      </w:r>
      <w:r>
        <w:rPr>
          <w:rFonts w:hint="eastAsia" w:ascii="Times New Roman" w:hAnsi="Times New Roman" w:cstheme="minorBidi"/>
          <w:color w:val="auto"/>
          <w:sz w:val="28"/>
          <w:szCs w:val="28"/>
          <w:lang w:val="en-US" w:eastAsia="zh-CN"/>
        </w:rPr>
        <w:t>谷平</w:t>
      </w:r>
      <w:r>
        <w:rPr>
          <w:rFonts w:hint="eastAsia" w:ascii="Times New Roman" w:hAnsi="Times New Roman" w:eastAsiaTheme="minorEastAsia" w:cstheme="minorBidi"/>
          <w:color w:val="auto"/>
          <w:sz w:val="28"/>
          <w:szCs w:val="28"/>
          <w:lang w:val="en-US" w:eastAsia="zh-CN"/>
        </w:rPr>
        <w:t>价差</w:t>
      </w:r>
      <w:r>
        <w:rPr>
          <w:rFonts w:hint="eastAsia" w:ascii="Times New Roman" w:hAnsi="Times New Roman" w:cstheme="minorBidi"/>
          <w:color w:val="auto"/>
          <w:sz w:val="28"/>
          <w:szCs w:val="28"/>
          <w:lang w:val="en-US" w:eastAsia="zh-CN"/>
        </w:rPr>
        <w:t>=</w:t>
      </w:r>
      <w:r>
        <w:rPr>
          <w:rFonts w:hint="eastAsia" w:ascii="Times New Roman" w:hAnsi="Times New Roman" w:eastAsiaTheme="minorEastAsia" w:cstheme="minorBidi"/>
          <w:b w:val="0"/>
          <w:bCs w:val="0"/>
          <w:color w:val="auto"/>
          <w:sz w:val="28"/>
          <w:szCs w:val="28"/>
          <w:lang w:eastAsia="zh-CN"/>
        </w:rPr>
        <w:t>市场</w:t>
      </w:r>
      <w:r>
        <w:rPr>
          <w:rFonts w:hint="eastAsia" w:ascii="Times New Roman" w:hAnsi="Times New Roman" w:eastAsiaTheme="minorEastAsia" w:cstheme="minorBidi"/>
          <w:color w:val="auto"/>
          <w:sz w:val="28"/>
          <w:szCs w:val="28"/>
        </w:rPr>
        <w:t>月度集中</w:t>
      </w:r>
      <w:r>
        <w:rPr>
          <w:rFonts w:hint="eastAsia" w:ascii="Times New Roman" w:hAnsi="Times New Roman" w:eastAsiaTheme="minorEastAsia" w:cstheme="minorBidi"/>
          <w:color w:val="auto"/>
          <w:sz w:val="28"/>
          <w:szCs w:val="28"/>
          <w:lang w:eastAsia="zh-CN"/>
        </w:rPr>
        <w:t>交易</w:t>
      </w:r>
      <w:r>
        <w:rPr>
          <w:rFonts w:hint="eastAsia" w:ascii="Times New Roman" w:hAnsi="Times New Roman" w:cstheme="minorBidi"/>
          <w:b w:val="0"/>
          <w:bCs w:val="0"/>
          <w:color w:val="auto"/>
          <w:sz w:val="28"/>
          <w:szCs w:val="28"/>
          <w:lang w:val="en-US" w:eastAsia="zh-CN"/>
        </w:rPr>
        <w:t>谷段</w:t>
      </w:r>
      <w:r>
        <w:rPr>
          <w:rFonts w:hint="eastAsia" w:ascii="Times New Roman" w:hAnsi="Times New Roman" w:cstheme="minorBidi"/>
          <w:color w:val="auto"/>
          <w:sz w:val="28"/>
          <w:szCs w:val="28"/>
          <w:lang w:val="en-US" w:eastAsia="zh-CN"/>
        </w:rPr>
        <w:t>平均价格-</w:t>
      </w:r>
      <w:r>
        <w:rPr>
          <w:rFonts w:hint="eastAsia" w:ascii="Times New Roman" w:hAnsi="Times New Roman" w:eastAsiaTheme="minorEastAsia" w:cstheme="minorBidi"/>
          <w:b w:val="0"/>
          <w:bCs w:val="0"/>
          <w:color w:val="auto"/>
          <w:sz w:val="28"/>
          <w:szCs w:val="28"/>
          <w:lang w:eastAsia="zh-CN"/>
        </w:rPr>
        <w:t>市场</w:t>
      </w:r>
      <w:r>
        <w:rPr>
          <w:rFonts w:hint="eastAsia" w:ascii="Times New Roman" w:hAnsi="Times New Roman" w:eastAsiaTheme="minorEastAsia" w:cstheme="minorBidi"/>
          <w:color w:val="auto"/>
          <w:sz w:val="28"/>
          <w:szCs w:val="28"/>
        </w:rPr>
        <w:t>月度集中</w:t>
      </w:r>
      <w:r>
        <w:rPr>
          <w:rFonts w:hint="eastAsia" w:ascii="Times New Roman" w:hAnsi="Times New Roman" w:eastAsiaTheme="minorEastAsia" w:cstheme="minorBidi"/>
          <w:color w:val="auto"/>
          <w:sz w:val="28"/>
          <w:szCs w:val="28"/>
          <w:lang w:eastAsia="zh-CN"/>
        </w:rPr>
        <w:t>交易</w:t>
      </w:r>
      <w:r>
        <w:rPr>
          <w:rFonts w:hint="eastAsia" w:ascii="Times New Roman" w:hAnsi="Times New Roman" w:cstheme="minorBidi"/>
          <w:b w:val="0"/>
          <w:bCs w:val="0"/>
          <w:color w:val="auto"/>
          <w:sz w:val="28"/>
          <w:szCs w:val="28"/>
          <w:lang w:val="en-US" w:eastAsia="zh-CN"/>
        </w:rPr>
        <w:t>平段</w:t>
      </w:r>
      <w:r>
        <w:rPr>
          <w:rFonts w:hint="eastAsia" w:ascii="Times New Roman" w:hAnsi="Times New Roman" w:cstheme="minorBidi"/>
          <w:color w:val="auto"/>
          <w:sz w:val="28"/>
          <w:szCs w:val="28"/>
          <w:lang w:val="en-US" w:eastAsia="zh-CN"/>
        </w:rPr>
        <w:t>平均价格</w:t>
      </w:r>
      <w:r>
        <w:rPr>
          <w:rFonts w:hint="eastAsia" w:ascii="Times New Roman" w:hAnsi="Times New Roman" w:cstheme="minorBidi"/>
          <w:color w:val="auto"/>
          <w:sz w:val="28"/>
          <w:szCs w:val="28"/>
          <w:lang w:eastAsia="zh-CN"/>
        </w:rPr>
        <w:t>。</w:t>
      </w:r>
    </w:p>
    <w:p>
      <w:pPr>
        <w:pStyle w:val="2"/>
        <w:rPr>
          <w:rFonts w:hint="eastAsia" w:ascii="Times New Roman" w:hAnsi="Times New Roman" w:eastAsiaTheme="minorEastAsia" w:cstheme="minorBidi"/>
          <w:color w:val="auto"/>
          <w:sz w:val="28"/>
          <w:szCs w:val="28"/>
          <w:lang w:eastAsia="zh-CN"/>
        </w:rPr>
      </w:pPr>
      <w:r>
        <w:rPr>
          <w:rFonts w:hint="eastAsia" w:ascii="Times New Roman" w:hAnsi="Times New Roman" w:eastAsiaTheme="minorEastAsia" w:cstheme="minorBidi"/>
          <w:color w:val="auto"/>
          <w:sz w:val="28"/>
          <w:szCs w:val="28"/>
          <w:lang w:eastAsia="zh-CN"/>
        </w:rPr>
        <w:t>（</w:t>
      </w:r>
      <w:r>
        <w:rPr>
          <w:rFonts w:hint="eastAsia" w:ascii="Times New Roman" w:hAnsi="Times New Roman" w:eastAsiaTheme="minorEastAsia" w:cstheme="minorBidi"/>
          <w:color w:val="auto"/>
          <w:sz w:val="28"/>
          <w:szCs w:val="28"/>
          <w:lang w:val="en-US" w:eastAsia="zh-CN"/>
        </w:rPr>
        <w:t>3</w:t>
      </w:r>
      <w:r>
        <w:rPr>
          <w:rFonts w:hint="eastAsia" w:ascii="Times New Roman" w:hAnsi="Times New Roman" w:eastAsiaTheme="minorEastAsia" w:cstheme="minorBidi"/>
          <w:color w:val="auto"/>
          <w:sz w:val="28"/>
          <w:szCs w:val="28"/>
          <w:lang w:eastAsia="zh-CN"/>
        </w:rPr>
        <w:t>）市场月度、月内集中交易峰谷价差</w:t>
      </w:r>
    </w:p>
    <w:p>
      <w:pPr>
        <w:pStyle w:val="2"/>
        <w:rPr>
          <w:rFonts w:hint="eastAsia" w:ascii="Times New Roman" w:hAnsi="Times New Roman" w:eastAsiaTheme="minorEastAsia" w:cstheme="minorBidi"/>
          <w:color w:val="auto"/>
          <w:sz w:val="28"/>
          <w:szCs w:val="28"/>
          <w:lang w:eastAsia="zh-CN"/>
        </w:rPr>
      </w:pPr>
      <w:r>
        <w:rPr>
          <w:rFonts w:hint="eastAsia" w:ascii="Times New Roman" w:hAnsi="Times New Roman" w:eastAsiaTheme="minorEastAsia" w:cstheme="minorBidi"/>
          <w:color w:val="auto"/>
          <w:sz w:val="28"/>
          <w:szCs w:val="28"/>
          <w:lang w:eastAsia="zh-CN"/>
        </w:rPr>
        <w:t>市场月度、月内集中交易峰平价差=市场月度、月内集中交易峰段平均价格-市场月度、月内集中交易平段平均价格；</w:t>
      </w:r>
    </w:p>
    <w:p>
      <w:pPr>
        <w:pStyle w:val="2"/>
        <w:rPr>
          <w:rFonts w:hint="eastAsia" w:ascii="Times New Roman" w:hAnsi="Times New Roman" w:eastAsiaTheme="minorEastAsia" w:cstheme="minorBidi"/>
          <w:color w:val="auto"/>
          <w:sz w:val="28"/>
          <w:szCs w:val="28"/>
          <w:lang w:eastAsia="zh-CN"/>
        </w:rPr>
      </w:pPr>
      <w:r>
        <w:rPr>
          <w:rFonts w:hint="eastAsia" w:ascii="Times New Roman" w:hAnsi="Times New Roman" w:eastAsiaTheme="minorEastAsia" w:cstheme="minorBidi"/>
          <w:color w:val="auto"/>
          <w:sz w:val="28"/>
          <w:szCs w:val="28"/>
          <w:lang w:eastAsia="zh-CN"/>
        </w:rPr>
        <w:t>市场月度、</w:t>
      </w:r>
      <w:r>
        <w:rPr>
          <w:rFonts w:hint="eastAsia" w:ascii="Times New Roman" w:hAnsi="Times New Roman" w:eastAsiaTheme="minorEastAsia" w:cstheme="minorBidi"/>
          <w:color w:val="auto"/>
          <w:sz w:val="28"/>
          <w:szCs w:val="28"/>
          <w:lang w:val="en-US" w:eastAsia="zh-CN"/>
        </w:rPr>
        <w:t>月内</w:t>
      </w:r>
      <w:r>
        <w:rPr>
          <w:rFonts w:hint="eastAsia" w:ascii="Times New Roman" w:hAnsi="Times New Roman" w:eastAsiaTheme="minorEastAsia" w:cstheme="minorBidi"/>
          <w:color w:val="auto"/>
          <w:sz w:val="28"/>
          <w:szCs w:val="28"/>
          <w:lang w:eastAsia="zh-CN"/>
        </w:rPr>
        <w:t>集中交易谷平价差=市场月度、月内集中交易谷段平均价格-市场月度、月内集中交易平段平均价格。</w:t>
      </w:r>
    </w:p>
    <w:p>
      <w:pPr>
        <w:pStyle w:val="2"/>
        <w:rPr>
          <w:rFonts w:hint="default" w:ascii="Times New Roman" w:hAnsi="Times New Roman" w:cstheme="minorBidi"/>
          <w:color w:val="auto"/>
          <w:sz w:val="28"/>
          <w:szCs w:val="28"/>
          <w:lang w:val="en-US" w:eastAsia="zh-CN"/>
        </w:rPr>
      </w:pPr>
      <w:r>
        <w:rPr>
          <w:rFonts w:hint="eastAsia" w:ascii="Times New Roman" w:hAnsi="Times New Roman" w:cstheme="minorBidi"/>
          <w:color w:val="auto"/>
          <w:sz w:val="28"/>
          <w:szCs w:val="28"/>
          <w:lang w:eastAsia="zh-CN"/>
        </w:rPr>
        <w:t>（</w:t>
      </w:r>
      <w:r>
        <w:rPr>
          <w:rFonts w:hint="eastAsia" w:ascii="Times New Roman" w:hAnsi="Times New Roman" w:cstheme="minorBidi"/>
          <w:color w:val="auto"/>
          <w:sz w:val="28"/>
          <w:szCs w:val="28"/>
          <w:lang w:val="en-US" w:eastAsia="zh-CN"/>
        </w:rPr>
        <w:t>4</w:t>
      </w:r>
      <w:r>
        <w:rPr>
          <w:rFonts w:hint="eastAsia" w:ascii="Times New Roman" w:hAnsi="Times New Roman" w:cstheme="minorBidi"/>
          <w:color w:val="auto"/>
          <w:sz w:val="28"/>
          <w:szCs w:val="28"/>
          <w:lang w:eastAsia="zh-CN"/>
        </w:rPr>
        <w:t>）</w:t>
      </w:r>
      <w:r>
        <w:rPr>
          <w:rFonts w:hint="eastAsia" w:ascii="Times New Roman" w:hAnsi="Times New Roman" w:eastAsiaTheme="minorEastAsia" w:cstheme="minorBidi"/>
          <w:bCs w:val="0"/>
          <w:color w:val="auto"/>
          <w:sz w:val="28"/>
          <w:szCs w:val="28"/>
          <w:lang w:eastAsia="zh-CN"/>
        </w:rPr>
        <w:t>年度市场电量交易月度峰谷价差</w:t>
      </w:r>
    </w:p>
    <w:p>
      <w:pPr>
        <w:spacing w:line="580" w:lineRule="exact"/>
        <w:ind w:firstLine="570"/>
        <w:rPr>
          <w:rFonts w:hint="eastAsia" w:ascii="Times New Roman" w:hAnsi="Times New Roman" w:cstheme="minorBidi"/>
          <w:color w:val="auto"/>
          <w:sz w:val="28"/>
          <w:szCs w:val="28"/>
          <w:lang w:val="en-US" w:eastAsia="zh-CN"/>
        </w:rPr>
      </w:pPr>
      <w:r>
        <w:rPr>
          <w:rFonts w:hint="eastAsia" w:ascii="Times New Roman" w:hAnsi="Times New Roman" w:eastAsiaTheme="minorEastAsia" w:cstheme="minorBidi"/>
          <w:color w:val="auto"/>
          <w:sz w:val="28"/>
          <w:szCs w:val="28"/>
          <w:lang w:eastAsia="zh-CN"/>
        </w:rPr>
        <w:t>年度市场电量</w:t>
      </w:r>
      <w:r>
        <w:rPr>
          <w:rFonts w:hint="eastAsia" w:ascii="Times New Roman" w:hAnsi="Times New Roman" w:eastAsiaTheme="minorEastAsia" w:cstheme="minorBidi"/>
          <w:color w:val="auto"/>
          <w:sz w:val="28"/>
          <w:szCs w:val="28"/>
        </w:rPr>
        <w:t>交易月度</w:t>
      </w:r>
      <w:r>
        <w:rPr>
          <w:rFonts w:hint="eastAsia" w:ascii="Times New Roman" w:hAnsi="Times New Roman" w:eastAsiaTheme="minorEastAsia" w:cstheme="minorBidi"/>
          <w:color w:val="auto"/>
          <w:sz w:val="28"/>
          <w:szCs w:val="28"/>
          <w:lang w:val="en-US" w:eastAsia="zh-CN"/>
        </w:rPr>
        <w:t>峰平价差</w:t>
      </w:r>
      <w:r>
        <w:rPr>
          <w:rFonts w:hint="eastAsia" w:ascii="Times New Roman" w:hAnsi="Times New Roman" w:cstheme="minorBidi"/>
          <w:color w:val="auto"/>
          <w:sz w:val="28"/>
          <w:szCs w:val="28"/>
          <w:lang w:val="en-US" w:eastAsia="zh-CN"/>
        </w:rPr>
        <w:t>=</w:t>
      </w:r>
      <w:r>
        <w:rPr>
          <w:rFonts w:hint="eastAsia" w:ascii="Times New Roman" w:hAnsi="Times New Roman" w:eastAsiaTheme="minorEastAsia" w:cstheme="minorBidi"/>
          <w:color w:val="auto"/>
          <w:sz w:val="28"/>
          <w:szCs w:val="28"/>
          <w:lang w:eastAsia="zh-CN"/>
        </w:rPr>
        <w:t>年度市场电量</w:t>
      </w:r>
      <w:r>
        <w:rPr>
          <w:rFonts w:hint="eastAsia" w:ascii="Times New Roman" w:hAnsi="Times New Roman" w:eastAsiaTheme="minorEastAsia" w:cstheme="minorBidi"/>
          <w:color w:val="auto"/>
          <w:sz w:val="28"/>
          <w:szCs w:val="28"/>
        </w:rPr>
        <w:t>交易月度</w:t>
      </w:r>
      <w:r>
        <w:rPr>
          <w:rFonts w:hint="eastAsia" w:ascii="Times New Roman" w:hAnsi="Times New Roman" w:cstheme="minorBidi"/>
          <w:color w:val="auto"/>
          <w:sz w:val="28"/>
          <w:szCs w:val="28"/>
          <w:lang w:val="en-US" w:eastAsia="zh-CN"/>
        </w:rPr>
        <w:t>峰段平均价格-</w:t>
      </w:r>
      <w:r>
        <w:rPr>
          <w:rFonts w:hint="eastAsia" w:ascii="Times New Roman" w:hAnsi="Times New Roman" w:eastAsiaTheme="minorEastAsia" w:cstheme="minorBidi"/>
          <w:color w:val="auto"/>
          <w:sz w:val="28"/>
          <w:szCs w:val="28"/>
          <w:lang w:eastAsia="zh-CN"/>
        </w:rPr>
        <w:t>年度市场电量</w:t>
      </w:r>
      <w:r>
        <w:rPr>
          <w:rFonts w:hint="eastAsia" w:ascii="Times New Roman" w:hAnsi="Times New Roman" w:eastAsiaTheme="minorEastAsia" w:cstheme="minorBidi"/>
          <w:color w:val="auto"/>
          <w:sz w:val="28"/>
          <w:szCs w:val="28"/>
        </w:rPr>
        <w:t>交易月度</w:t>
      </w:r>
      <w:r>
        <w:rPr>
          <w:rFonts w:hint="eastAsia" w:ascii="Times New Roman" w:hAnsi="Times New Roman" w:cstheme="minorBidi"/>
          <w:color w:val="auto"/>
          <w:sz w:val="28"/>
          <w:szCs w:val="28"/>
          <w:lang w:val="en-US" w:eastAsia="zh-CN"/>
        </w:rPr>
        <w:t>平段平均价格；</w:t>
      </w:r>
    </w:p>
    <w:p>
      <w:pPr>
        <w:ind w:firstLine="570"/>
        <w:rPr>
          <w:rFonts w:hint="eastAsia" w:ascii="Times New Roman" w:hAnsi="Times New Roman" w:cstheme="minorBidi"/>
          <w:color w:val="auto"/>
          <w:sz w:val="28"/>
          <w:szCs w:val="28"/>
          <w:lang w:eastAsia="zh-CN"/>
        </w:rPr>
      </w:pPr>
      <w:r>
        <w:rPr>
          <w:rFonts w:hint="eastAsia" w:ascii="Times New Roman" w:hAnsi="Times New Roman" w:eastAsiaTheme="minorEastAsia" w:cstheme="minorBidi"/>
          <w:color w:val="auto"/>
          <w:sz w:val="28"/>
          <w:szCs w:val="28"/>
          <w:lang w:eastAsia="zh-CN"/>
        </w:rPr>
        <w:t>年度市场电量</w:t>
      </w:r>
      <w:r>
        <w:rPr>
          <w:rFonts w:hint="eastAsia" w:ascii="Times New Roman" w:hAnsi="Times New Roman" w:eastAsiaTheme="minorEastAsia" w:cstheme="minorBidi"/>
          <w:color w:val="auto"/>
          <w:sz w:val="28"/>
          <w:szCs w:val="28"/>
        </w:rPr>
        <w:t>交易月度</w:t>
      </w:r>
      <w:r>
        <w:rPr>
          <w:rFonts w:hint="eastAsia" w:ascii="Times New Roman" w:hAnsi="Times New Roman" w:cstheme="minorBidi"/>
          <w:color w:val="auto"/>
          <w:sz w:val="28"/>
          <w:szCs w:val="28"/>
          <w:lang w:val="en-US" w:eastAsia="zh-CN"/>
        </w:rPr>
        <w:t>谷平</w:t>
      </w:r>
      <w:r>
        <w:rPr>
          <w:rFonts w:hint="eastAsia" w:ascii="Times New Roman" w:hAnsi="Times New Roman" w:eastAsiaTheme="minorEastAsia" w:cstheme="minorBidi"/>
          <w:color w:val="auto"/>
          <w:sz w:val="28"/>
          <w:szCs w:val="28"/>
          <w:lang w:val="en-US" w:eastAsia="zh-CN"/>
        </w:rPr>
        <w:t>价差</w:t>
      </w:r>
      <w:r>
        <w:rPr>
          <w:rFonts w:hint="eastAsia" w:ascii="Times New Roman" w:hAnsi="Times New Roman" w:cstheme="minorBidi"/>
          <w:color w:val="auto"/>
          <w:sz w:val="28"/>
          <w:szCs w:val="28"/>
          <w:lang w:val="en-US" w:eastAsia="zh-CN"/>
        </w:rPr>
        <w:t>=</w:t>
      </w:r>
      <w:r>
        <w:rPr>
          <w:rFonts w:hint="eastAsia" w:ascii="Times New Roman" w:hAnsi="Times New Roman" w:eastAsiaTheme="minorEastAsia" w:cstheme="minorBidi"/>
          <w:color w:val="auto"/>
          <w:sz w:val="28"/>
          <w:szCs w:val="28"/>
          <w:lang w:eastAsia="zh-CN"/>
        </w:rPr>
        <w:t>年度市场电量</w:t>
      </w:r>
      <w:r>
        <w:rPr>
          <w:rFonts w:hint="eastAsia" w:ascii="Times New Roman" w:hAnsi="Times New Roman" w:eastAsiaTheme="minorEastAsia" w:cstheme="minorBidi"/>
          <w:color w:val="auto"/>
          <w:sz w:val="28"/>
          <w:szCs w:val="28"/>
        </w:rPr>
        <w:t>交易月度</w:t>
      </w:r>
      <w:r>
        <w:rPr>
          <w:rFonts w:hint="eastAsia" w:ascii="Times New Roman" w:hAnsi="Times New Roman" w:cstheme="minorBidi"/>
          <w:b w:val="0"/>
          <w:bCs w:val="0"/>
          <w:color w:val="auto"/>
          <w:sz w:val="28"/>
          <w:szCs w:val="28"/>
          <w:lang w:val="en-US" w:eastAsia="zh-CN"/>
        </w:rPr>
        <w:t>谷段</w:t>
      </w:r>
      <w:r>
        <w:rPr>
          <w:rFonts w:hint="eastAsia" w:ascii="Times New Roman" w:hAnsi="Times New Roman" w:cstheme="minorBidi"/>
          <w:color w:val="auto"/>
          <w:sz w:val="28"/>
          <w:szCs w:val="28"/>
          <w:lang w:val="en-US" w:eastAsia="zh-CN"/>
        </w:rPr>
        <w:t>平均价格-</w:t>
      </w:r>
      <w:r>
        <w:rPr>
          <w:rFonts w:hint="eastAsia" w:ascii="Times New Roman" w:hAnsi="Times New Roman" w:eastAsiaTheme="minorEastAsia" w:cstheme="minorBidi"/>
          <w:color w:val="auto"/>
          <w:sz w:val="28"/>
          <w:szCs w:val="28"/>
          <w:lang w:eastAsia="zh-CN"/>
        </w:rPr>
        <w:t>年度市场电量</w:t>
      </w:r>
      <w:r>
        <w:rPr>
          <w:rFonts w:hint="eastAsia" w:ascii="Times New Roman" w:hAnsi="Times New Roman" w:eastAsiaTheme="minorEastAsia" w:cstheme="minorBidi"/>
          <w:color w:val="auto"/>
          <w:sz w:val="28"/>
          <w:szCs w:val="28"/>
        </w:rPr>
        <w:t>交易月度</w:t>
      </w:r>
      <w:r>
        <w:rPr>
          <w:rFonts w:hint="eastAsia" w:ascii="Times New Roman" w:hAnsi="Times New Roman" w:cstheme="minorBidi"/>
          <w:b w:val="0"/>
          <w:bCs w:val="0"/>
          <w:color w:val="auto"/>
          <w:sz w:val="28"/>
          <w:szCs w:val="28"/>
          <w:lang w:val="en-US" w:eastAsia="zh-CN"/>
        </w:rPr>
        <w:t>平段</w:t>
      </w:r>
      <w:r>
        <w:rPr>
          <w:rFonts w:hint="eastAsia" w:ascii="Times New Roman" w:hAnsi="Times New Roman" w:cstheme="minorBidi"/>
          <w:color w:val="auto"/>
          <w:sz w:val="28"/>
          <w:szCs w:val="28"/>
          <w:lang w:val="en-US" w:eastAsia="zh-CN"/>
        </w:rPr>
        <w:t>平均价格</w:t>
      </w:r>
      <w:r>
        <w:rPr>
          <w:rFonts w:hint="eastAsia" w:ascii="Times New Roman" w:hAnsi="Times New Roman" w:cstheme="minorBidi"/>
          <w:color w:val="auto"/>
          <w:sz w:val="28"/>
          <w:szCs w:val="28"/>
          <w:lang w:eastAsia="zh-CN"/>
        </w:rPr>
        <w:t>。</w:t>
      </w:r>
    </w:p>
    <w:p>
      <w:pPr>
        <w:ind w:firstLine="570"/>
        <w:rPr>
          <w:rFonts w:hint="eastAsia" w:ascii="Times New Roman" w:hAnsi="Times New Roman" w:eastAsiaTheme="minorEastAsia" w:cstheme="minorBidi"/>
          <w:b w:val="0"/>
          <w:color w:val="auto"/>
          <w:sz w:val="28"/>
          <w:szCs w:val="28"/>
          <w:lang w:val="en-US" w:eastAsia="zh-CN"/>
        </w:rPr>
      </w:pPr>
      <w:r>
        <w:rPr>
          <w:rFonts w:hint="eastAsia" w:ascii="Times New Roman" w:hAnsi="Times New Roman" w:eastAsiaTheme="minorEastAsia" w:cstheme="minorBidi"/>
          <w:b w:val="0"/>
          <w:color w:val="auto"/>
          <w:sz w:val="28"/>
          <w:szCs w:val="28"/>
          <w:lang w:val="en-US" w:eastAsia="zh-CN"/>
        </w:rPr>
        <w:t>（</w:t>
      </w:r>
      <w:r>
        <w:rPr>
          <w:rFonts w:hint="eastAsia" w:ascii="Times New Roman" w:hAnsi="Times New Roman" w:cstheme="minorBidi"/>
          <w:b w:val="0"/>
          <w:color w:val="auto"/>
          <w:sz w:val="28"/>
          <w:szCs w:val="28"/>
          <w:lang w:val="en-US" w:eastAsia="zh-CN"/>
        </w:rPr>
        <w:t>5</w:t>
      </w:r>
      <w:r>
        <w:rPr>
          <w:rFonts w:hint="eastAsia" w:ascii="Times New Roman" w:hAnsi="Times New Roman" w:eastAsiaTheme="minorEastAsia" w:cstheme="minorBidi"/>
          <w:b w:val="0"/>
          <w:color w:val="auto"/>
          <w:sz w:val="28"/>
          <w:szCs w:val="28"/>
          <w:lang w:val="en-US" w:eastAsia="zh-CN"/>
        </w:rPr>
        <w:t>）</w:t>
      </w:r>
      <w:r>
        <w:rPr>
          <w:rFonts w:hint="eastAsia" w:ascii="Times New Roman" w:hAnsi="Times New Roman" w:eastAsiaTheme="minorEastAsia" w:cstheme="minorBidi"/>
          <w:b w:val="0"/>
          <w:bCs w:val="0"/>
          <w:color w:val="auto"/>
          <w:sz w:val="28"/>
          <w:szCs w:val="28"/>
          <w:lang w:eastAsia="zh-CN"/>
        </w:rPr>
        <w:t>市场</w:t>
      </w:r>
      <w:r>
        <w:rPr>
          <w:rFonts w:hint="eastAsia" w:ascii="Times New Roman" w:hAnsi="Times New Roman" w:eastAsiaTheme="minorEastAsia" w:cstheme="minorBidi"/>
          <w:color w:val="auto"/>
          <w:sz w:val="28"/>
          <w:szCs w:val="28"/>
          <w:lang w:val="en-US" w:eastAsia="zh-CN"/>
        </w:rPr>
        <w:t>月度批发结算</w:t>
      </w:r>
      <w:r>
        <w:rPr>
          <w:rFonts w:hint="eastAsia" w:ascii="Times New Roman" w:hAnsi="Times New Roman" w:cstheme="minorBidi"/>
          <w:color w:val="auto"/>
          <w:sz w:val="28"/>
          <w:szCs w:val="28"/>
          <w:lang w:val="en-US" w:eastAsia="zh-CN"/>
        </w:rPr>
        <w:t>峰谷</w:t>
      </w:r>
      <w:r>
        <w:rPr>
          <w:rFonts w:hint="eastAsia" w:ascii="Times New Roman" w:hAnsi="Times New Roman" w:eastAsiaTheme="minorEastAsia" w:cstheme="minorBidi"/>
          <w:color w:val="auto"/>
          <w:sz w:val="28"/>
          <w:szCs w:val="28"/>
          <w:lang w:val="en-US" w:eastAsia="zh-CN"/>
        </w:rPr>
        <w:t>价差</w:t>
      </w:r>
    </w:p>
    <w:p>
      <w:pPr>
        <w:ind w:firstLine="570"/>
        <w:rPr>
          <w:rFonts w:hint="eastAsia" w:ascii="Times New Roman" w:hAnsi="Times New Roman" w:cstheme="minorBidi"/>
          <w:color w:val="auto"/>
          <w:sz w:val="28"/>
          <w:szCs w:val="28"/>
          <w:lang w:eastAsia="zh-CN"/>
        </w:rPr>
      </w:pPr>
      <w:r>
        <w:rPr>
          <w:rFonts w:hint="eastAsia" w:ascii="Times New Roman" w:hAnsi="Times New Roman" w:eastAsiaTheme="minorEastAsia" w:cstheme="minorBidi"/>
          <w:b w:val="0"/>
          <w:bCs w:val="0"/>
          <w:color w:val="auto"/>
          <w:sz w:val="28"/>
          <w:szCs w:val="28"/>
          <w:lang w:eastAsia="zh-CN"/>
        </w:rPr>
        <w:t>市场</w:t>
      </w:r>
      <w:r>
        <w:rPr>
          <w:rFonts w:hint="eastAsia" w:ascii="Times New Roman" w:hAnsi="Times New Roman" w:cstheme="minorBidi"/>
          <w:color w:val="auto"/>
          <w:sz w:val="28"/>
          <w:szCs w:val="28"/>
          <w:lang w:val="en-US" w:eastAsia="zh-CN"/>
        </w:rPr>
        <w:t>月度批发结算</w:t>
      </w:r>
      <w:r>
        <w:rPr>
          <w:rFonts w:hint="eastAsia" w:ascii="Times New Roman" w:hAnsi="Times New Roman" w:eastAsiaTheme="minorEastAsia" w:cstheme="minorBidi"/>
          <w:color w:val="auto"/>
          <w:sz w:val="28"/>
          <w:szCs w:val="28"/>
          <w:lang w:val="en-US" w:eastAsia="zh-CN"/>
        </w:rPr>
        <w:t>峰平价差</w:t>
      </w:r>
      <w:r>
        <w:rPr>
          <w:rFonts w:hint="eastAsia" w:ascii="Times New Roman" w:hAnsi="Times New Roman" w:cstheme="minorBidi"/>
          <w:color w:val="auto"/>
          <w:sz w:val="28"/>
          <w:szCs w:val="28"/>
          <w:lang w:val="en-US" w:eastAsia="zh-CN"/>
        </w:rPr>
        <w:t>=</w:t>
      </w:r>
      <w:r>
        <w:rPr>
          <w:rFonts w:hint="eastAsia" w:ascii="Times New Roman" w:hAnsi="Times New Roman" w:eastAsiaTheme="minorEastAsia" w:cstheme="minorBidi"/>
          <w:b w:val="0"/>
          <w:bCs w:val="0"/>
          <w:color w:val="auto"/>
          <w:sz w:val="28"/>
          <w:szCs w:val="28"/>
          <w:lang w:eastAsia="zh-CN"/>
        </w:rPr>
        <w:t>市场</w:t>
      </w:r>
      <w:r>
        <w:rPr>
          <w:rFonts w:hint="eastAsia" w:ascii="Times New Roman" w:hAnsi="Times New Roman" w:cstheme="minorBidi"/>
          <w:color w:val="auto"/>
          <w:sz w:val="28"/>
          <w:szCs w:val="28"/>
          <w:lang w:val="en-US" w:eastAsia="zh-CN"/>
        </w:rPr>
        <w:t>月度批发结算峰段平均价格-</w:t>
      </w:r>
      <w:r>
        <w:rPr>
          <w:rFonts w:hint="eastAsia" w:ascii="Times New Roman" w:hAnsi="Times New Roman" w:eastAsiaTheme="minorEastAsia" w:cstheme="minorBidi"/>
          <w:b w:val="0"/>
          <w:bCs w:val="0"/>
          <w:color w:val="auto"/>
          <w:sz w:val="28"/>
          <w:szCs w:val="28"/>
          <w:lang w:eastAsia="zh-CN"/>
        </w:rPr>
        <w:t>市场</w:t>
      </w:r>
      <w:r>
        <w:rPr>
          <w:rFonts w:hint="eastAsia" w:ascii="Times New Roman" w:hAnsi="Times New Roman" w:cstheme="minorBidi"/>
          <w:color w:val="auto"/>
          <w:sz w:val="28"/>
          <w:szCs w:val="28"/>
          <w:lang w:val="en-US" w:eastAsia="zh-CN"/>
        </w:rPr>
        <w:t>月度批发结算平段平均价格</w:t>
      </w:r>
      <w:r>
        <w:rPr>
          <w:rFonts w:hint="eastAsia" w:ascii="Times New Roman" w:hAnsi="Times New Roman" w:cstheme="minorBidi"/>
          <w:color w:val="auto"/>
          <w:sz w:val="28"/>
          <w:szCs w:val="28"/>
          <w:lang w:eastAsia="zh-CN"/>
        </w:rPr>
        <w:t>；</w:t>
      </w:r>
    </w:p>
    <w:p>
      <w:pPr>
        <w:ind w:firstLine="570"/>
        <w:rPr>
          <w:rFonts w:hint="default" w:ascii="仿宋_GB2312" w:hAnsi="仿宋" w:eastAsia="仿宋_GB2312" w:cs="仿宋"/>
          <w:b w:val="0"/>
          <w:sz w:val="32"/>
          <w:szCs w:val="32"/>
          <w:lang w:val="en-US" w:eastAsia="zh-CN"/>
        </w:rPr>
      </w:pPr>
      <w:r>
        <w:rPr>
          <w:rFonts w:hint="eastAsia" w:ascii="Times New Roman" w:hAnsi="Times New Roman" w:eastAsiaTheme="minorEastAsia" w:cstheme="minorBidi"/>
          <w:b w:val="0"/>
          <w:bCs w:val="0"/>
          <w:color w:val="auto"/>
          <w:sz w:val="28"/>
          <w:szCs w:val="28"/>
          <w:lang w:eastAsia="zh-CN"/>
        </w:rPr>
        <w:t>市场</w:t>
      </w:r>
      <w:r>
        <w:rPr>
          <w:rFonts w:hint="eastAsia" w:ascii="Times New Roman" w:hAnsi="Times New Roman" w:cstheme="minorBidi"/>
          <w:color w:val="auto"/>
          <w:sz w:val="28"/>
          <w:szCs w:val="28"/>
          <w:lang w:val="en-US" w:eastAsia="zh-CN"/>
        </w:rPr>
        <w:t>月度批发结算谷平</w:t>
      </w:r>
      <w:r>
        <w:rPr>
          <w:rFonts w:hint="eastAsia" w:ascii="Times New Roman" w:hAnsi="Times New Roman" w:eastAsiaTheme="minorEastAsia" w:cstheme="minorBidi"/>
          <w:color w:val="auto"/>
          <w:sz w:val="28"/>
          <w:szCs w:val="28"/>
          <w:lang w:val="en-US" w:eastAsia="zh-CN"/>
        </w:rPr>
        <w:t>价差</w:t>
      </w:r>
      <w:r>
        <w:rPr>
          <w:rFonts w:hint="eastAsia" w:ascii="Times New Roman" w:hAnsi="Times New Roman" w:cstheme="minorBidi"/>
          <w:color w:val="auto"/>
          <w:sz w:val="28"/>
          <w:szCs w:val="28"/>
          <w:lang w:val="en-US" w:eastAsia="zh-CN"/>
        </w:rPr>
        <w:t>=</w:t>
      </w:r>
      <w:r>
        <w:rPr>
          <w:rFonts w:hint="eastAsia" w:ascii="Times New Roman" w:hAnsi="Times New Roman" w:eastAsiaTheme="minorEastAsia" w:cstheme="minorBidi"/>
          <w:b w:val="0"/>
          <w:bCs w:val="0"/>
          <w:color w:val="auto"/>
          <w:sz w:val="28"/>
          <w:szCs w:val="28"/>
          <w:lang w:eastAsia="zh-CN"/>
        </w:rPr>
        <w:t>市场</w:t>
      </w:r>
      <w:r>
        <w:rPr>
          <w:rFonts w:hint="eastAsia" w:ascii="Times New Roman" w:hAnsi="Times New Roman" w:cstheme="minorBidi"/>
          <w:color w:val="auto"/>
          <w:sz w:val="28"/>
          <w:szCs w:val="28"/>
          <w:lang w:val="en-US" w:eastAsia="zh-CN"/>
        </w:rPr>
        <w:t>月度批发结算谷段平均价格-</w:t>
      </w:r>
      <w:r>
        <w:rPr>
          <w:rFonts w:hint="eastAsia" w:ascii="Times New Roman" w:hAnsi="Times New Roman" w:eastAsiaTheme="minorEastAsia" w:cstheme="minorBidi"/>
          <w:b w:val="0"/>
          <w:bCs w:val="0"/>
          <w:color w:val="auto"/>
          <w:sz w:val="28"/>
          <w:szCs w:val="28"/>
          <w:lang w:eastAsia="zh-CN"/>
        </w:rPr>
        <w:t>市场</w:t>
      </w:r>
      <w:r>
        <w:rPr>
          <w:rFonts w:hint="eastAsia" w:ascii="Times New Roman" w:hAnsi="Times New Roman" w:cstheme="minorBidi"/>
          <w:color w:val="auto"/>
          <w:sz w:val="28"/>
          <w:szCs w:val="28"/>
          <w:lang w:val="en-US" w:eastAsia="zh-CN"/>
        </w:rPr>
        <w:t>月度批发结算平段平均价格</w:t>
      </w:r>
      <w:r>
        <w:rPr>
          <w:rFonts w:hint="eastAsia" w:ascii="Times New Roman" w:hAnsi="Times New Roman" w:cstheme="minorBidi"/>
          <w:color w:val="auto"/>
          <w:sz w:val="28"/>
          <w:szCs w:val="28"/>
          <w:lang w:eastAsia="zh-CN"/>
        </w:rPr>
        <w:t>。</w:t>
      </w:r>
    </w:p>
    <w:p>
      <w:pPr>
        <w:ind w:firstLine="570"/>
        <w:rPr>
          <w:rFonts w:hint="eastAsia" w:asciiTheme="minorEastAsia" w:hAnsiTheme="minorEastAsia" w:eastAsiaTheme="minorEastAsia" w:cstheme="minorEastAsia"/>
          <w:b/>
          <w:color w:val="auto"/>
          <w:sz w:val="28"/>
          <w:szCs w:val="28"/>
          <w:lang w:eastAsia="zh-CN"/>
        </w:rPr>
      </w:pPr>
      <w:r>
        <w:rPr>
          <w:rFonts w:hint="eastAsia" w:asciiTheme="minorEastAsia" w:hAnsiTheme="minorEastAsia" w:cstheme="minorEastAsia"/>
          <w:b/>
          <w:color w:val="auto"/>
          <w:sz w:val="28"/>
          <w:szCs w:val="28"/>
          <w:lang w:val="en-US" w:eastAsia="zh-CN"/>
        </w:rPr>
        <w:t>3</w:t>
      </w:r>
      <w:r>
        <w:rPr>
          <w:rFonts w:hint="eastAsia" w:asciiTheme="minorEastAsia" w:hAnsiTheme="minorEastAsia" w:cstheme="minorEastAsia"/>
          <w:b/>
          <w:color w:val="auto"/>
          <w:sz w:val="28"/>
          <w:szCs w:val="28"/>
        </w:rPr>
        <w:t>、</w:t>
      </w:r>
      <w:r>
        <w:rPr>
          <w:rFonts w:hint="eastAsia" w:ascii="Arial" w:hAnsi="Arial" w:cs="Arial"/>
          <w:b/>
          <w:color w:val="auto"/>
          <w:sz w:val="28"/>
          <w:szCs w:val="28"/>
        </w:rPr>
        <w:t>浮动电费结算</w:t>
      </w:r>
      <w:r>
        <w:rPr>
          <w:rFonts w:hint="eastAsia" w:ascii="Arial" w:hAnsi="Arial" w:cs="Arial"/>
          <w:b/>
          <w:color w:val="auto"/>
          <w:sz w:val="28"/>
          <w:szCs w:val="28"/>
          <w:lang w:val="en-US" w:eastAsia="zh-CN"/>
        </w:rPr>
        <w:t>套餐</w:t>
      </w:r>
    </w:p>
    <w:p>
      <w:pPr>
        <w:ind w:firstLine="570"/>
        <w:rPr>
          <w:rFonts w:hint="eastAsia" w:ascii="Times New Roman" w:hAnsi="Times New Roman" w:eastAsiaTheme="minorEastAsia" w:cstheme="minorBidi"/>
          <w:b w:val="0"/>
          <w:bCs w:val="0"/>
          <w:color w:val="auto"/>
          <w:sz w:val="28"/>
          <w:szCs w:val="28"/>
          <w:lang w:eastAsia="zh-CN"/>
        </w:rPr>
      </w:pPr>
      <w:r>
        <w:rPr>
          <w:rFonts w:hint="eastAsia" w:ascii="Times New Roman" w:hAnsi="Times New Roman" w:eastAsiaTheme="minorEastAsia" w:cstheme="minorBidi"/>
          <w:b w:val="0"/>
          <w:bCs w:val="0"/>
          <w:color w:val="auto"/>
          <w:sz w:val="28"/>
          <w:szCs w:val="28"/>
          <w:lang w:eastAsia="zh-CN"/>
        </w:rPr>
        <w:t>浮动电费</w:t>
      </w:r>
      <w:r>
        <w:rPr>
          <w:rFonts w:hint="eastAsia" w:ascii="Times New Roman" w:hAnsi="Times New Roman" w:cstheme="minorBidi"/>
          <w:b w:val="0"/>
          <w:bCs w:val="0"/>
          <w:color w:val="auto"/>
          <w:sz w:val="28"/>
          <w:szCs w:val="28"/>
          <w:lang w:val="en-US" w:eastAsia="zh-CN"/>
        </w:rPr>
        <w:t>套餐</w:t>
      </w:r>
      <w:r>
        <w:rPr>
          <w:rFonts w:hint="eastAsia" w:ascii="Times New Roman" w:hAnsi="Times New Roman" w:eastAsiaTheme="minorEastAsia" w:cstheme="minorBidi"/>
          <w:b w:val="0"/>
          <w:bCs w:val="0"/>
          <w:color w:val="auto"/>
          <w:sz w:val="28"/>
          <w:szCs w:val="28"/>
          <w:lang w:eastAsia="zh-CN"/>
        </w:rPr>
        <w:t>是指在电量电费结算</w:t>
      </w:r>
      <w:r>
        <w:rPr>
          <w:rFonts w:hint="eastAsia" w:ascii="Times New Roman" w:hAnsi="Times New Roman" w:cstheme="minorBidi"/>
          <w:b w:val="0"/>
          <w:bCs w:val="0"/>
          <w:color w:val="auto"/>
          <w:sz w:val="28"/>
          <w:szCs w:val="28"/>
          <w:lang w:val="en-US" w:eastAsia="zh-CN"/>
        </w:rPr>
        <w:t>套餐</w:t>
      </w:r>
      <w:r>
        <w:rPr>
          <w:rFonts w:hint="eastAsia" w:ascii="Times New Roman" w:hAnsi="Times New Roman" w:eastAsiaTheme="minorEastAsia" w:cstheme="minorBidi"/>
          <w:b w:val="0"/>
          <w:bCs w:val="0"/>
          <w:color w:val="auto"/>
          <w:sz w:val="28"/>
          <w:szCs w:val="28"/>
          <w:lang w:eastAsia="zh-CN"/>
        </w:rPr>
        <w:t>基础上，额外加收交易浮动电费的</w:t>
      </w:r>
      <w:r>
        <w:rPr>
          <w:rFonts w:hint="eastAsia" w:ascii="Times New Roman" w:hAnsi="Times New Roman" w:cstheme="minorBidi"/>
          <w:b w:val="0"/>
          <w:bCs w:val="0"/>
          <w:color w:val="auto"/>
          <w:sz w:val="28"/>
          <w:szCs w:val="28"/>
          <w:lang w:val="en-US" w:eastAsia="zh-CN"/>
        </w:rPr>
        <w:t>套餐</w:t>
      </w:r>
      <w:r>
        <w:rPr>
          <w:rFonts w:hint="eastAsia" w:ascii="Times New Roman" w:hAnsi="Times New Roman" w:eastAsiaTheme="minorEastAsia" w:cstheme="minorBidi"/>
          <w:b w:val="0"/>
          <w:bCs w:val="0"/>
          <w:color w:val="auto"/>
          <w:sz w:val="28"/>
          <w:szCs w:val="28"/>
          <w:lang w:eastAsia="zh-CN"/>
        </w:rPr>
        <w:t>，即零售用户电费=电量电费+浮动电费。</w:t>
      </w:r>
    </w:p>
    <w:p>
      <w:pPr>
        <w:ind w:firstLine="570"/>
        <w:rPr>
          <w:rFonts w:hint="eastAsia" w:ascii="Times New Roman" w:hAnsi="Times New Roman" w:eastAsiaTheme="minorEastAsia" w:cstheme="minorBidi"/>
          <w:b w:val="0"/>
          <w:bCs w:val="0"/>
          <w:color w:val="auto"/>
          <w:sz w:val="28"/>
          <w:szCs w:val="28"/>
          <w:lang w:eastAsia="zh-CN"/>
        </w:rPr>
      </w:pPr>
      <w:r>
        <w:rPr>
          <w:rFonts w:hint="eastAsia" w:ascii="Times New Roman" w:hAnsi="Times New Roman" w:eastAsiaTheme="minorEastAsia" w:cstheme="minorBidi"/>
          <w:b w:val="0"/>
          <w:bCs w:val="0"/>
          <w:color w:val="auto"/>
          <w:sz w:val="28"/>
          <w:szCs w:val="28"/>
          <w:lang w:eastAsia="zh-CN"/>
        </w:rPr>
        <w:t>浮动价格电费</w:t>
      </w:r>
      <w:r>
        <w:rPr>
          <w:rFonts w:hint="eastAsia" w:ascii="Times New Roman" w:hAnsi="Times New Roman" w:cstheme="minorBidi"/>
          <w:b w:val="0"/>
          <w:bCs w:val="0"/>
          <w:color w:val="auto"/>
          <w:sz w:val="28"/>
          <w:szCs w:val="28"/>
          <w:lang w:val="en-US" w:eastAsia="zh-CN"/>
        </w:rPr>
        <w:t>套餐</w:t>
      </w:r>
      <w:r>
        <w:rPr>
          <w:rFonts w:hint="eastAsia" w:ascii="Times New Roman" w:hAnsi="Times New Roman" w:eastAsiaTheme="minorEastAsia" w:cstheme="minorBidi"/>
          <w:b w:val="0"/>
          <w:bCs w:val="0"/>
          <w:color w:val="auto"/>
          <w:sz w:val="28"/>
          <w:szCs w:val="28"/>
          <w:lang w:eastAsia="zh-CN"/>
        </w:rPr>
        <w:t>是对零售用户月度用电量和对应阶梯阈值进行比较，对不同阶梯电量加收对应的固定浮动价格的电费</w:t>
      </w:r>
      <w:r>
        <w:rPr>
          <w:rFonts w:hint="eastAsia" w:ascii="Times New Roman" w:hAnsi="Times New Roman" w:cstheme="minorBidi"/>
          <w:b w:val="0"/>
          <w:bCs w:val="0"/>
          <w:color w:val="auto"/>
          <w:sz w:val="28"/>
          <w:szCs w:val="28"/>
          <w:lang w:val="en-US" w:eastAsia="zh-CN"/>
        </w:rPr>
        <w:t>套餐</w:t>
      </w:r>
      <w:r>
        <w:rPr>
          <w:rFonts w:hint="eastAsia" w:ascii="Times New Roman" w:hAnsi="Times New Roman" w:eastAsiaTheme="minorEastAsia" w:cstheme="minorBidi"/>
          <w:b w:val="0"/>
          <w:bCs w:val="0"/>
          <w:color w:val="auto"/>
          <w:sz w:val="28"/>
          <w:szCs w:val="28"/>
          <w:lang w:eastAsia="zh-CN"/>
        </w:rPr>
        <w:t>。最多支持2个阶梯。其中：固定浮动价格可以约定为正值或负值；阶梯阈值设置为：固定值。</w:t>
      </w:r>
    </w:p>
    <w:p>
      <w:pPr>
        <w:ind w:firstLine="570"/>
        <w:rPr>
          <w:rFonts w:asciiTheme="minorEastAsia" w:hAnsiTheme="minorEastAsia" w:cstheme="minorEastAsia"/>
          <w:bCs/>
          <w:color w:val="auto"/>
          <w:sz w:val="28"/>
          <w:szCs w:val="28"/>
        </w:rPr>
      </w:pPr>
      <w:r>
        <w:rPr>
          <w:rFonts w:hint="eastAsia" w:asciiTheme="minorEastAsia" w:hAnsiTheme="minorEastAsia" w:cstheme="minorEastAsia"/>
          <w:bCs/>
          <w:color w:val="auto"/>
          <w:sz w:val="28"/>
          <w:szCs w:val="28"/>
        </w:rPr>
        <w:t>各阶梯浮动电费=该阶梯电量×对应的浮动价格</w:t>
      </w:r>
    </w:p>
    <w:p>
      <w:pPr>
        <w:ind w:firstLine="570"/>
        <w:rPr>
          <w:rFonts w:asciiTheme="minorEastAsia" w:hAnsiTheme="minorEastAsia" w:cstheme="minorEastAsia"/>
          <w:bCs/>
          <w:color w:val="auto"/>
          <w:sz w:val="28"/>
          <w:szCs w:val="28"/>
        </w:rPr>
      </w:pPr>
      <w:r>
        <w:rPr>
          <w:rFonts w:hint="eastAsia" w:ascii="宋体" w:hAnsi="宋体" w:cs="宋体"/>
          <w:color w:val="auto"/>
          <w:sz w:val="28"/>
          <w:szCs w:val="28"/>
        </w:rPr>
        <w:t>①</w:t>
      </w:r>
      <w:r>
        <w:rPr>
          <w:rFonts w:hint="eastAsia" w:asciiTheme="minorEastAsia" w:hAnsiTheme="minorEastAsia" w:cstheme="minorEastAsia"/>
          <w:bCs/>
          <w:color w:val="auto"/>
          <w:sz w:val="28"/>
          <w:szCs w:val="28"/>
        </w:rPr>
        <w:t>甲方月度电量小于或等于</w:t>
      </w:r>
      <w:r>
        <w:rPr>
          <w:rFonts w:hint="eastAsia" w:asciiTheme="minorEastAsia" w:hAnsiTheme="minorEastAsia" w:cstheme="minorEastAsia"/>
          <w:bCs/>
          <w:color w:val="auto"/>
          <w:sz w:val="28"/>
          <w:szCs w:val="28"/>
          <w:u w:val="single"/>
        </w:rPr>
        <w:t xml:space="preserve">    </w:t>
      </w:r>
      <w:r>
        <w:rPr>
          <w:rFonts w:hint="eastAsia" w:asciiTheme="minorEastAsia" w:hAnsiTheme="minorEastAsia" w:cstheme="minorEastAsia"/>
          <w:bCs/>
          <w:color w:val="auto"/>
          <w:sz w:val="28"/>
          <w:szCs w:val="28"/>
        </w:rPr>
        <w:t>（单位：兆瓦时），浮动价格为</w:t>
      </w:r>
      <w:r>
        <w:rPr>
          <w:rFonts w:hint="eastAsia" w:asciiTheme="minorEastAsia" w:hAnsiTheme="minorEastAsia" w:cstheme="minorEastAsia"/>
          <w:bCs/>
          <w:color w:val="auto"/>
          <w:sz w:val="28"/>
          <w:szCs w:val="28"/>
          <w:u w:val="single"/>
        </w:rPr>
        <w:t xml:space="preserve">      </w:t>
      </w:r>
      <w:r>
        <w:rPr>
          <w:rFonts w:hint="eastAsia" w:ascii="Times New Roman" w:hAnsi="Times New Roman"/>
          <w:color w:val="auto"/>
          <w:sz w:val="28"/>
          <w:szCs w:val="28"/>
        </w:rPr>
        <w:t>（单位：</w:t>
      </w:r>
      <w:r>
        <w:rPr>
          <w:rFonts w:hint="eastAsia" w:ascii="宋体" w:hAnsi="宋体" w:cs="宋体"/>
          <w:color w:val="auto"/>
          <w:sz w:val="28"/>
          <w:szCs w:val="28"/>
        </w:rPr>
        <w:t>元/兆瓦时）</w:t>
      </w:r>
      <w:r>
        <w:rPr>
          <w:rFonts w:hint="eastAsia" w:asciiTheme="minorEastAsia" w:hAnsiTheme="minorEastAsia" w:cstheme="minorEastAsia"/>
          <w:bCs/>
          <w:color w:val="auto"/>
          <w:sz w:val="28"/>
          <w:szCs w:val="28"/>
        </w:rPr>
        <w:t>。</w:t>
      </w:r>
    </w:p>
    <w:p>
      <w:pPr>
        <w:ind w:firstLine="570"/>
        <w:rPr>
          <w:rFonts w:asciiTheme="minorEastAsia" w:hAnsiTheme="minorEastAsia" w:cstheme="minorEastAsia"/>
          <w:bCs/>
          <w:color w:val="auto"/>
          <w:sz w:val="28"/>
          <w:szCs w:val="28"/>
        </w:rPr>
      </w:pPr>
      <w:r>
        <w:rPr>
          <w:rFonts w:hint="eastAsia" w:ascii="宋体" w:hAnsi="宋体" w:cs="宋体"/>
          <w:color w:val="auto"/>
          <w:sz w:val="28"/>
          <w:szCs w:val="28"/>
        </w:rPr>
        <w:t>②</w:t>
      </w:r>
      <w:r>
        <w:rPr>
          <w:rFonts w:hint="eastAsia" w:asciiTheme="minorEastAsia" w:hAnsiTheme="minorEastAsia" w:cstheme="minorEastAsia"/>
          <w:bCs/>
          <w:color w:val="auto"/>
          <w:sz w:val="28"/>
          <w:szCs w:val="28"/>
        </w:rPr>
        <w:t>甲方月度电量大于</w:t>
      </w:r>
      <w:r>
        <w:rPr>
          <w:rFonts w:hint="eastAsia" w:asciiTheme="minorEastAsia" w:hAnsiTheme="minorEastAsia" w:cstheme="minorEastAsia"/>
          <w:bCs/>
          <w:color w:val="auto"/>
          <w:sz w:val="28"/>
          <w:szCs w:val="28"/>
          <w:u w:val="single"/>
        </w:rPr>
        <w:t xml:space="preserve">    </w:t>
      </w:r>
      <w:r>
        <w:rPr>
          <w:rFonts w:hint="eastAsia" w:asciiTheme="minorEastAsia" w:hAnsiTheme="minorEastAsia" w:cstheme="minorEastAsia"/>
          <w:bCs/>
          <w:color w:val="auto"/>
          <w:sz w:val="28"/>
          <w:szCs w:val="28"/>
        </w:rPr>
        <w:t>（单位：兆瓦时）</w:t>
      </w:r>
      <w:r>
        <w:rPr>
          <w:rFonts w:hint="eastAsia" w:ascii="Times New Roman" w:hAnsi="Times New Roman"/>
          <w:color w:val="auto"/>
          <w:sz w:val="28"/>
          <w:szCs w:val="28"/>
        </w:rPr>
        <w:t>（系统默认，同上</w:t>
      </w:r>
      <w:r>
        <w:rPr>
          <w:rFonts w:hint="eastAsia" w:ascii="宋体" w:hAnsi="宋体" w:eastAsia="宋体" w:cs="宋体"/>
          <w:color w:val="auto"/>
          <w:sz w:val="28"/>
          <w:szCs w:val="28"/>
        </w:rPr>
        <w:t>阈值</w:t>
      </w:r>
      <w:r>
        <w:rPr>
          <w:rFonts w:hint="eastAsia" w:ascii="Times New Roman" w:hAnsi="Times New Roman"/>
          <w:color w:val="auto"/>
          <w:sz w:val="28"/>
          <w:szCs w:val="28"/>
        </w:rPr>
        <w:t>）</w:t>
      </w:r>
      <w:r>
        <w:rPr>
          <w:rFonts w:hint="eastAsia" w:asciiTheme="minorEastAsia" w:hAnsiTheme="minorEastAsia" w:cstheme="minorEastAsia"/>
          <w:bCs/>
          <w:color w:val="auto"/>
          <w:sz w:val="28"/>
          <w:szCs w:val="28"/>
        </w:rPr>
        <w:t>，浮动价格为</w:t>
      </w:r>
      <w:r>
        <w:rPr>
          <w:rFonts w:hint="eastAsia" w:asciiTheme="minorEastAsia" w:hAnsiTheme="minorEastAsia" w:cstheme="minorEastAsia"/>
          <w:bCs/>
          <w:color w:val="auto"/>
          <w:sz w:val="28"/>
          <w:szCs w:val="28"/>
          <w:u w:val="single"/>
        </w:rPr>
        <w:t xml:space="preserve">      </w:t>
      </w:r>
      <w:r>
        <w:rPr>
          <w:rFonts w:hint="eastAsia" w:ascii="Times New Roman" w:hAnsi="Times New Roman"/>
          <w:color w:val="auto"/>
          <w:sz w:val="28"/>
          <w:szCs w:val="28"/>
        </w:rPr>
        <w:t>（单位：</w:t>
      </w:r>
      <w:r>
        <w:rPr>
          <w:rFonts w:hint="eastAsia" w:ascii="宋体" w:hAnsi="宋体" w:cs="宋体"/>
          <w:color w:val="auto"/>
          <w:sz w:val="28"/>
          <w:szCs w:val="28"/>
        </w:rPr>
        <w:t>元/兆瓦时）</w:t>
      </w:r>
      <w:r>
        <w:rPr>
          <w:rFonts w:hint="eastAsia" w:asciiTheme="minorEastAsia" w:hAnsiTheme="minorEastAsia" w:cstheme="minorEastAsia"/>
          <w:bCs/>
          <w:color w:val="auto"/>
          <w:sz w:val="28"/>
          <w:szCs w:val="28"/>
        </w:rPr>
        <w:t>。</w:t>
      </w:r>
    </w:p>
    <w:p>
      <w:pPr>
        <w:ind w:firstLine="420" w:firstLineChars="200"/>
        <w:rPr>
          <w:rFonts w:hint="eastAsia" w:asciiTheme="minorEastAsia" w:hAnsiTheme="minorEastAsia" w:cstheme="minorEastAsia"/>
          <w:bCs/>
          <w:color w:val="auto"/>
          <w:szCs w:val="21"/>
        </w:rPr>
      </w:pPr>
      <w:r>
        <w:rPr>
          <w:rFonts w:hint="eastAsia" w:asciiTheme="minorEastAsia" w:hAnsiTheme="minorEastAsia" w:cstheme="minorEastAsia"/>
          <w:bCs/>
          <w:color w:val="auto"/>
          <w:szCs w:val="21"/>
        </w:rPr>
        <w:t>备注：“月度电量”最多可保留3位小数；“浮动价格电费”最多可保留</w:t>
      </w:r>
      <w:r>
        <w:rPr>
          <w:rFonts w:hint="eastAsia" w:asciiTheme="minorEastAsia" w:hAnsiTheme="minorEastAsia" w:cstheme="minorEastAsia"/>
          <w:bCs/>
          <w:color w:val="auto"/>
          <w:szCs w:val="21"/>
          <w:lang w:val="en-US" w:eastAsia="zh-CN"/>
        </w:rPr>
        <w:t>3</w:t>
      </w:r>
      <w:r>
        <w:rPr>
          <w:rFonts w:hint="eastAsia" w:asciiTheme="minorEastAsia" w:hAnsiTheme="minorEastAsia" w:cstheme="minorEastAsia"/>
          <w:bCs/>
          <w:color w:val="auto"/>
          <w:szCs w:val="21"/>
        </w:rPr>
        <w:t>位小数。</w:t>
      </w:r>
    </w:p>
    <w:p>
      <w:pPr>
        <w:ind w:firstLine="570"/>
        <w:rPr>
          <w:rFonts w:hint="eastAsia" w:asciiTheme="minorEastAsia" w:hAnsiTheme="minorEastAsia" w:eastAsiaTheme="minorEastAsia" w:cstheme="minorEastAsia"/>
          <w:b/>
          <w:color w:val="auto"/>
          <w:sz w:val="28"/>
          <w:szCs w:val="28"/>
          <w:lang w:eastAsia="zh-CN"/>
        </w:rPr>
      </w:pPr>
      <w:r>
        <w:rPr>
          <w:rFonts w:hint="eastAsia" w:asciiTheme="minorEastAsia" w:hAnsiTheme="minorEastAsia" w:cstheme="minorEastAsia"/>
          <w:b/>
          <w:color w:val="auto"/>
          <w:sz w:val="28"/>
          <w:szCs w:val="28"/>
          <w:lang w:val="en-US" w:eastAsia="zh-CN"/>
        </w:rPr>
        <w:t>4</w:t>
      </w:r>
      <w:r>
        <w:rPr>
          <w:rFonts w:hint="eastAsia" w:asciiTheme="minorEastAsia" w:hAnsiTheme="minorEastAsia" w:cstheme="minorEastAsia"/>
          <w:b/>
          <w:color w:val="auto"/>
          <w:sz w:val="28"/>
          <w:szCs w:val="28"/>
        </w:rPr>
        <w:t>、</w:t>
      </w:r>
      <w:r>
        <w:rPr>
          <w:rFonts w:hint="eastAsia" w:ascii="Arial" w:hAnsi="Arial" w:cs="Arial"/>
          <w:b/>
          <w:color w:val="auto"/>
          <w:sz w:val="28"/>
          <w:szCs w:val="28"/>
        </w:rPr>
        <w:t>现货分摊分享类不平衡资金结算套餐</w:t>
      </w:r>
    </w:p>
    <w:p>
      <w:pPr>
        <w:pStyle w:val="2"/>
        <w:rPr>
          <w:rFonts w:hint="eastAsia" w:asciiTheme="minorEastAsia" w:hAnsiTheme="minorEastAsia" w:eastAsiaTheme="minorEastAsia" w:cstheme="minorEastAsia"/>
          <w:bCs/>
          <w:color w:val="auto"/>
          <w:kern w:val="2"/>
          <w:sz w:val="28"/>
          <w:szCs w:val="28"/>
          <w:lang w:val="en-US" w:eastAsia="zh-CN" w:bidi="ar-SA"/>
        </w:rPr>
      </w:pPr>
      <w:r>
        <w:rPr>
          <w:rFonts w:hint="eastAsia" w:asciiTheme="minorEastAsia" w:hAnsiTheme="minorEastAsia" w:eastAsiaTheme="minorEastAsia" w:cstheme="minorEastAsia"/>
          <w:bCs/>
          <w:color w:val="auto"/>
          <w:kern w:val="2"/>
          <w:sz w:val="28"/>
          <w:szCs w:val="28"/>
          <w:lang w:val="en-US" w:eastAsia="zh-CN" w:bidi="ar-SA"/>
        </w:rPr>
        <w:t>现货分摊分享类不平衡资金结算套餐是现货试运行或连续运行结算期间，支持售电公司将批发侧分摊分享类不平衡资金按照比例传导零售用户的套餐。该套餐为可选套餐，仅在开展现货结算（含多日及全月现货结算试运行）时生效。</w:t>
      </w:r>
    </w:p>
    <w:p>
      <w:pPr>
        <w:pStyle w:val="2"/>
        <w:rPr>
          <w:rFonts w:hint="eastAsia" w:ascii="Times New Roman" w:hAnsi="Times New Roman" w:eastAsiaTheme="minorEastAsia" w:cstheme="minorBidi"/>
          <w:color w:val="auto"/>
          <w:sz w:val="28"/>
          <w:szCs w:val="28"/>
          <w:lang w:val="en-US" w:eastAsia="zh-CN"/>
        </w:rPr>
      </w:pPr>
      <w:r>
        <w:rPr>
          <w:rFonts w:hint="eastAsia" w:ascii="Times New Roman" w:hAnsi="Times New Roman" w:eastAsiaTheme="minorEastAsia" w:cstheme="minorBidi"/>
          <w:color w:val="auto"/>
          <w:sz w:val="28"/>
          <w:szCs w:val="28"/>
          <w:lang w:val="en-US" w:eastAsia="zh-CN"/>
        </w:rPr>
        <w:t>甲方</w:t>
      </w:r>
      <w:r>
        <w:rPr>
          <w:rFonts w:hint="eastAsia" w:ascii="Times New Roman" w:hAnsi="Times New Roman" w:eastAsiaTheme="minorEastAsia" w:cstheme="minorBidi"/>
          <w:color w:val="auto"/>
          <w:sz w:val="28"/>
          <w:szCs w:val="28"/>
        </w:rPr>
        <w:t>分摊分享费用=</w:t>
      </w:r>
      <w:r>
        <w:rPr>
          <w:rFonts w:hint="eastAsia" w:ascii="Times New Roman" w:hAnsi="Times New Roman" w:eastAsiaTheme="minorEastAsia" w:cstheme="minorBidi"/>
          <w:color w:val="auto"/>
          <w:sz w:val="28"/>
          <w:szCs w:val="28"/>
          <w:lang w:val="en-US" w:eastAsia="zh-CN"/>
        </w:rPr>
        <w:t>甲方</w:t>
      </w:r>
      <w:r>
        <w:rPr>
          <w:rFonts w:hint="eastAsia" w:ascii="Times New Roman" w:hAnsi="Times New Roman" w:eastAsiaTheme="minorEastAsia" w:cstheme="minorBidi"/>
          <w:color w:val="auto"/>
          <w:sz w:val="28"/>
          <w:szCs w:val="28"/>
        </w:rPr>
        <w:t>现货期间用电市场电量×分配</w:t>
      </w:r>
      <w:r>
        <w:rPr>
          <w:rFonts w:hint="eastAsia" w:ascii="Times New Roman" w:hAnsi="Times New Roman" w:eastAsiaTheme="minorEastAsia" w:cstheme="minorBidi"/>
          <w:color w:val="auto"/>
          <w:sz w:val="28"/>
          <w:szCs w:val="28"/>
          <w:lang w:eastAsia="zh-CN"/>
        </w:rPr>
        <w:t>总</w:t>
      </w:r>
      <w:r>
        <w:rPr>
          <w:rFonts w:hint="eastAsia" w:ascii="Times New Roman" w:hAnsi="Times New Roman" w:eastAsiaTheme="minorEastAsia" w:cstheme="minorBidi"/>
          <w:color w:val="auto"/>
          <w:sz w:val="28"/>
          <w:szCs w:val="28"/>
        </w:rPr>
        <w:t>价×甲方分摊分享比例</w:t>
      </w:r>
    </w:p>
    <w:p>
      <w:pPr>
        <w:pStyle w:val="2"/>
        <w:rPr>
          <w:rFonts w:hint="eastAsia" w:ascii="Times New Roman" w:hAnsi="Times New Roman" w:eastAsiaTheme="minorEastAsia" w:cstheme="minorBidi"/>
          <w:color w:val="auto"/>
          <w:sz w:val="28"/>
          <w:szCs w:val="28"/>
          <w:lang w:eastAsia="zh-CN"/>
        </w:rPr>
      </w:pPr>
      <w:r>
        <w:rPr>
          <w:rFonts w:hint="eastAsia" w:ascii="Times New Roman" w:hAnsi="Times New Roman" w:eastAsiaTheme="minorEastAsia" w:cstheme="minorBidi"/>
          <w:color w:val="auto"/>
          <w:sz w:val="28"/>
          <w:szCs w:val="28"/>
          <w:lang w:val="en-US" w:eastAsia="zh-CN"/>
        </w:rPr>
        <w:t>分配总价= ∑各项分摊分享类不平衡资金度电分配单价</w:t>
      </w:r>
    </w:p>
    <w:p>
      <w:pPr>
        <w:pStyle w:val="2"/>
        <w:rPr>
          <w:rFonts w:hint="eastAsia" w:ascii="Times New Roman" w:hAnsi="Times New Roman" w:eastAsiaTheme="minorEastAsia" w:cstheme="minorBidi"/>
          <w:color w:val="auto"/>
          <w:sz w:val="28"/>
          <w:szCs w:val="28"/>
          <w:lang w:val="en-US" w:eastAsia="zh-CN"/>
        </w:rPr>
      </w:pPr>
      <w:r>
        <w:rPr>
          <w:rFonts w:hint="eastAsia" w:ascii="Times New Roman" w:hAnsi="Times New Roman" w:eastAsiaTheme="minorEastAsia" w:cstheme="minorBidi"/>
          <w:color w:val="auto"/>
          <w:sz w:val="28"/>
          <w:szCs w:val="28"/>
          <w:lang w:val="en-US" w:eastAsia="zh-CN"/>
        </w:rPr>
        <w:t>甲乙双方约定，甲方分摊分享比例为</w:t>
      </w:r>
      <w:r>
        <w:rPr>
          <w:rFonts w:hint="eastAsia" w:ascii="Times New Roman" w:hAnsi="Times New Roman" w:eastAsiaTheme="minorEastAsia" w:cstheme="minorBidi"/>
          <w:color w:val="auto"/>
          <w:sz w:val="28"/>
          <w:szCs w:val="28"/>
          <w:u w:val="single"/>
          <w:lang w:val="en-US" w:eastAsia="zh-CN"/>
        </w:rPr>
        <w:t xml:space="preserve">        </w:t>
      </w:r>
      <w:r>
        <w:rPr>
          <w:rFonts w:hint="eastAsia" w:ascii="Times New Roman" w:hAnsi="Times New Roman" w:eastAsiaTheme="minorEastAsia" w:cstheme="minorBidi"/>
          <w:color w:val="auto"/>
          <w:sz w:val="28"/>
          <w:szCs w:val="28"/>
          <w:u w:val="none"/>
          <w:lang w:val="en-US" w:eastAsia="zh-CN"/>
        </w:rPr>
        <w:t>% （</w:t>
      </w:r>
      <w:r>
        <w:rPr>
          <w:rFonts w:hint="eastAsia" w:ascii="Times New Roman" w:hAnsi="Times New Roman" w:eastAsiaTheme="minorEastAsia" w:cstheme="minorBidi"/>
          <w:color w:val="auto"/>
          <w:sz w:val="28"/>
          <w:szCs w:val="28"/>
        </w:rPr>
        <w:t>0-100%</w:t>
      </w:r>
      <w:r>
        <w:rPr>
          <w:rFonts w:hint="eastAsia" w:ascii="Times New Roman" w:hAnsi="Times New Roman" w:eastAsiaTheme="minorEastAsia" w:cstheme="minorBidi"/>
          <w:color w:val="auto"/>
          <w:sz w:val="28"/>
          <w:szCs w:val="28"/>
          <w:lang w:eastAsia="zh-CN"/>
        </w:rPr>
        <w:t>，仅支持整数百分比</w:t>
      </w:r>
      <w:r>
        <w:rPr>
          <w:rFonts w:hint="eastAsia" w:ascii="Times New Roman" w:hAnsi="Times New Roman" w:eastAsiaTheme="minorEastAsia" w:cstheme="minorBidi"/>
          <w:color w:val="auto"/>
          <w:sz w:val="28"/>
          <w:szCs w:val="28"/>
          <w:u w:val="none"/>
          <w:lang w:val="en-US" w:eastAsia="zh-CN"/>
        </w:rPr>
        <w:t>）。</w:t>
      </w:r>
    </w:p>
    <w:p>
      <w:pPr>
        <w:ind w:firstLine="570"/>
      </w:pPr>
      <w:r>
        <w:rPr>
          <w:rFonts w:hint="eastAsia" w:asciiTheme="minorEastAsia" w:hAnsiTheme="minorEastAsia" w:cstheme="minorEastAsia"/>
          <w:bCs/>
          <w:color w:val="auto"/>
          <w:sz w:val="28"/>
          <w:szCs w:val="28"/>
          <w:lang w:val="en-US" w:eastAsia="zh-CN"/>
        </w:rPr>
        <w:t>备注：分摊分享类不平衡资金</w:t>
      </w:r>
      <w:r>
        <w:rPr>
          <w:rFonts w:hint="eastAsia" w:asciiTheme="minorEastAsia" w:hAnsiTheme="minorEastAsia" w:cstheme="minorEastAsia"/>
          <w:bCs/>
          <w:color w:val="auto"/>
          <w:sz w:val="28"/>
          <w:szCs w:val="28"/>
          <w:lang w:eastAsia="zh-CN"/>
        </w:rPr>
        <w:t>不包含对</w:t>
      </w:r>
      <w:r>
        <w:rPr>
          <w:rFonts w:hint="eastAsia" w:asciiTheme="minorEastAsia" w:hAnsiTheme="minorEastAsia" w:cstheme="minorEastAsia"/>
          <w:bCs/>
          <w:color w:val="auto"/>
          <w:sz w:val="28"/>
          <w:szCs w:val="28"/>
          <w:lang w:val="en-US" w:eastAsia="zh-CN"/>
        </w:rPr>
        <w:t>乙方</w:t>
      </w:r>
      <w:r>
        <w:rPr>
          <w:rFonts w:hint="eastAsia" w:asciiTheme="minorEastAsia" w:hAnsiTheme="minorEastAsia" w:cstheme="minorEastAsia"/>
          <w:bCs/>
          <w:color w:val="auto"/>
          <w:sz w:val="28"/>
          <w:szCs w:val="28"/>
          <w:lang w:eastAsia="zh-CN"/>
        </w:rPr>
        <w:t>收取的偏差收益回收类费用，现行</w:t>
      </w:r>
      <w:r>
        <w:rPr>
          <w:rFonts w:hint="eastAsia" w:asciiTheme="minorEastAsia" w:hAnsiTheme="minorEastAsia" w:cstheme="minorEastAsia"/>
          <w:bCs/>
          <w:color w:val="auto"/>
          <w:sz w:val="28"/>
          <w:szCs w:val="28"/>
          <w:lang w:val="en-US" w:eastAsia="zh-CN"/>
        </w:rPr>
        <w:t>主要包含批发交易用户和电网代理购电</w:t>
      </w:r>
      <w:r>
        <w:rPr>
          <w:rFonts w:hint="eastAsia" w:asciiTheme="minorEastAsia" w:hAnsiTheme="minorEastAsia" w:cstheme="minorEastAsia"/>
          <w:bCs/>
          <w:color w:val="auto"/>
          <w:sz w:val="28"/>
          <w:szCs w:val="28"/>
        </w:rPr>
        <w:t>偏差收益</w:t>
      </w:r>
      <w:r>
        <w:rPr>
          <w:rFonts w:hint="eastAsia" w:asciiTheme="minorEastAsia" w:hAnsiTheme="minorEastAsia" w:cstheme="minorEastAsia"/>
          <w:bCs/>
          <w:color w:val="auto"/>
          <w:sz w:val="28"/>
          <w:szCs w:val="28"/>
          <w:lang w:val="en-US"/>
        </w:rPr>
        <w:t>转移</w:t>
      </w:r>
      <w:r>
        <w:rPr>
          <w:rFonts w:hint="eastAsia" w:asciiTheme="minorEastAsia" w:hAnsiTheme="minorEastAsia" w:cstheme="minorEastAsia"/>
          <w:bCs/>
          <w:color w:val="auto"/>
          <w:sz w:val="28"/>
          <w:szCs w:val="28"/>
        </w:rPr>
        <w:t>分摊电费</w:t>
      </w:r>
      <w:r>
        <w:rPr>
          <w:rFonts w:hint="eastAsia" w:asciiTheme="minorEastAsia" w:hAnsiTheme="minorEastAsia" w:cstheme="minorEastAsia"/>
          <w:bCs/>
          <w:color w:val="auto"/>
          <w:sz w:val="28"/>
          <w:szCs w:val="28"/>
          <w:lang w:eastAsia="zh-CN"/>
        </w:rPr>
        <w:t>、</w:t>
      </w:r>
      <w:r>
        <w:rPr>
          <w:rFonts w:hint="eastAsia" w:asciiTheme="minorEastAsia" w:hAnsiTheme="minorEastAsia" w:cstheme="minorEastAsia"/>
          <w:bCs/>
          <w:color w:val="auto"/>
          <w:sz w:val="28"/>
          <w:szCs w:val="28"/>
          <w:lang w:val="en-US" w:eastAsia="zh-CN"/>
        </w:rPr>
        <w:t>发电侧</w:t>
      </w:r>
      <w:r>
        <w:rPr>
          <w:rFonts w:hint="eastAsia" w:asciiTheme="minorEastAsia" w:hAnsiTheme="minorEastAsia" w:cstheme="minorEastAsia"/>
          <w:bCs/>
          <w:color w:val="auto"/>
          <w:sz w:val="28"/>
          <w:szCs w:val="28"/>
        </w:rPr>
        <w:t>中长期偏差收益回收分摊电费</w:t>
      </w:r>
      <w:r>
        <w:rPr>
          <w:rFonts w:hint="eastAsia" w:asciiTheme="minorEastAsia" w:hAnsiTheme="minorEastAsia" w:cstheme="minorEastAsia"/>
          <w:bCs/>
          <w:color w:val="auto"/>
          <w:sz w:val="28"/>
          <w:szCs w:val="28"/>
          <w:lang w:eastAsia="zh-CN"/>
        </w:rPr>
        <w:t>、</w:t>
      </w:r>
      <w:r>
        <w:rPr>
          <w:rFonts w:hint="eastAsia" w:asciiTheme="minorEastAsia" w:hAnsiTheme="minorEastAsia" w:cstheme="minorEastAsia"/>
          <w:bCs/>
          <w:color w:val="auto"/>
          <w:sz w:val="28"/>
          <w:szCs w:val="28"/>
        </w:rPr>
        <w:t>电网代购负电量价差返还分摊电费</w:t>
      </w:r>
      <w:r>
        <w:rPr>
          <w:rFonts w:hint="eastAsia" w:asciiTheme="minorEastAsia" w:hAnsiTheme="minorEastAsia" w:cstheme="minorEastAsia"/>
          <w:bCs/>
          <w:color w:val="auto"/>
          <w:sz w:val="28"/>
          <w:szCs w:val="28"/>
          <w:lang w:eastAsia="zh-CN"/>
        </w:rPr>
        <w:t>、</w:t>
      </w:r>
      <w:r>
        <w:rPr>
          <w:rFonts w:hint="eastAsia" w:asciiTheme="minorEastAsia" w:hAnsiTheme="minorEastAsia" w:cstheme="minorEastAsia"/>
          <w:bCs/>
          <w:color w:val="auto"/>
          <w:sz w:val="28"/>
          <w:szCs w:val="28"/>
        </w:rPr>
        <w:t>市场发用不平衡偏差分摊电费</w:t>
      </w:r>
      <w:r>
        <w:rPr>
          <w:rFonts w:hint="eastAsia" w:asciiTheme="minorEastAsia" w:hAnsiTheme="minorEastAsia" w:cstheme="minorEastAsia"/>
          <w:bCs/>
          <w:color w:val="auto"/>
          <w:sz w:val="28"/>
          <w:szCs w:val="28"/>
          <w:lang w:eastAsia="zh-CN"/>
        </w:rPr>
        <w:t>等，可</w:t>
      </w:r>
      <w:r>
        <w:rPr>
          <w:rFonts w:hint="eastAsia" w:asciiTheme="minorEastAsia" w:hAnsiTheme="minorEastAsia" w:cstheme="minorEastAsia"/>
          <w:bCs/>
          <w:color w:val="auto"/>
          <w:sz w:val="28"/>
          <w:szCs w:val="28"/>
          <w:lang w:val="en-US" w:eastAsia="zh-CN"/>
        </w:rPr>
        <w:t>视</w:t>
      </w:r>
      <w:r>
        <w:rPr>
          <w:rFonts w:hint="eastAsia" w:asciiTheme="minorEastAsia" w:hAnsiTheme="minorEastAsia" w:cstheme="minorEastAsia"/>
          <w:bCs/>
          <w:color w:val="auto"/>
          <w:sz w:val="28"/>
          <w:szCs w:val="28"/>
          <w:lang w:eastAsia="zh-CN"/>
        </w:rPr>
        <w:t>现货市场运行情况增减科目，具体由现货结算实</w:t>
      </w:r>
      <w:r>
        <w:rPr>
          <w:rFonts w:hint="eastAsia" w:asciiTheme="minorEastAsia" w:hAnsiTheme="minorEastAsia" w:cstheme="minorEastAsia"/>
          <w:bCs/>
          <w:color w:val="auto"/>
          <w:sz w:val="28"/>
          <w:szCs w:val="28"/>
          <w:lang w:val="en-US" w:eastAsia="zh-CN"/>
        </w:rPr>
        <w:t>施</w:t>
      </w:r>
      <w:r>
        <w:rPr>
          <w:rFonts w:hint="eastAsia" w:asciiTheme="minorEastAsia" w:hAnsiTheme="minorEastAsia" w:cstheme="minorEastAsia"/>
          <w:bCs/>
          <w:color w:val="auto"/>
          <w:sz w:val="28"/>
          <w:szCs w:val="28"/>
          <w:lang w:eastAsia="zh-CN"/>
        </w:rPr>
        <w:t>细则或结算试运行方案进行明确。</w:t>
      </w:r>
    </w:p>
    <w:p>
      <w:pPr>
        <w:spacing w:line="580" w:lineRule="exact"/>
        <w:ind w:firstLine="570"/>
        <w:rPr>
          <w:rFonts w:hint="eastAsia" w:asciiTheme="minorEastAsia" w:hAnsiTheme="minorEastAsia" w:cstheme="minorEastAsia"/>
          <w:color w:val="auto"/>
          <w:sz w:val="28"/>
          <w:szCs w:val="28"/>
        </w:rPr>
      </w:pPr>
      <w:r>
        <w:rPr>
          <w:rFonts w:hint="eastAsia" w:asciiTheme="minorEastAsia" w:hAnsiTheme="minorEastAsia" w:cstheme="minorEastAsia"/>
          <w:color w:val="auto"/>
          <w:sz w:val="28"/>
          <w:szCs w:val="28"/>
        </w:rPr>
        <w:t>4.</w:t>
      </w:r>
      <w:r>
        <w:rPr>
          <w:rFonts w:hint="eastAsia" w:asciiTheme="minorEastAsia" w:hAnsiTheme="minorEastAsia" w:cstheme="minorEastAsia"/>
          <w:color w:val="auto"/>
          <w:sz w:val="28"/>
          <w:szCs w:val="28"/>
          <w:lang w:val="en-US" w:eastAsia="zh-CN"/>
        </w:rPr>
        <w:t>5</w:t>
      </w:r>
      <w:r>
        <w:rPr>
          <w:rFonts w:hint="eastAsia" w:asciiTheme="minorEastAsia" w:hAnsiTheme="minorEastAsia" w:cstheme="minorEastAsia"/>
          <w:color w:val="auto"/>
          <w:sz w:val="28"/>
          <w:szCs w:val="28"/>
        </w:rPr>
        <w:t xml:space="preserve"> </w:t>
      </w:r>
      <w:r>
        <w:rPr>
          <w:rFonts w:hint="eastAsia" w:asciiTheme="minorEastAsia" w:hAnsiTheme="minorEastAsia" w:eastAsiaTheme="minorEastAsia" w:cstheme="minorEastAsia"/>
          <w:color w:val="auto"/>
          <w:kern w:val="2"/>
          <w:sz w:val="28"/>
          <w:szCs w:val="28"/>
          <w:lang w:val="en-US" w:eastAsia="zh-CN"/>
        </w:rPr>
        <w:t>在正式结算依据发布</w:t>
      </w:r>
      <w:r>
        <w:rPr>
          <w:rFonts w:hint="eastAsia" w:asciiTheme="minorEastAsia" w:hAnsiTheme="minorEastAsia" w:cstheme="minorEastAsia"/>
          <w:color w:val="auto"/>
          <w:kern w:val="2"/>
          <w:sz w:val="28"/>
          <w:szCs w:val="28"/>
          <w:lang w:val="en-US" w:eastAsia="zh-CN"/>
        </w:rPr>
        <w:t>前，</w:t>
      </w:r>
      <w:r>
        <w:rPr>
          <w:rFonts w:hint="eastAsia" w:asciiTheme="minorEastAsia" w:hAnsiTheme="minorEastAsia" w:eastAsiaTheme="minorEastAsia" w:cstheme="minorEastAsia"/>
          <w:color w:val="auto"/>
          <w:kern w:val="2"/>
          <w:sz w:val="28"/>
          <w:szCs w:val="28"/>
          <w:lang w:val="en-US" w:eastAsia="zh-CN"/>
        </w:rPr>
        <w:t>当月发现电量差错的，交易中心按零售合同相关结算条款重新开展结算，相关冲正退补结果纳入</w:t>
      </w:r>
      <w:r>
        <w:rPr>
          <w:rFonts w:hint="eastAsia" w:asciiTheme="minorEastAsia" w:hAnsiTheme="minorEastAsia" w:cstheme="minorEastAsia"/>
          <w:color w:val="auto"/>
          <w:kern w:val="2"/>
          <w:sz w:val="28"/>
          <w:szCs w:val="28"/>
          <w:lang w:val="en-US" w:eastAsia="zh-CN"/>
        </w:rPr>
        <w:t>当</w:t>
      </w:r>
      <w:r>
        <w:rPr>
          <w:rFonts w:hint="eastAsia" w:asciiTheme="minorEastAsia" w:hAnsiTheme="minorEastAsia" w:eastAsiaTheme="minorEastAsia" w:cstheme="minorEastAsia"/>
          <w:color w:val="auto"/>
          <w:kern w:val="2"/>
          <w:sz w:val="28"/>
          <w:szCs w:val="28"/>
          <w:lang w:val="en-US" w:eastAsia="zh-CN"/>
        </w:rPr>
        <w:t>月结算依据</w:t>
      </w:r>
      <w:r>
        <w:rPr>
          <w:rFonts w:hint="eastAsia" w:asciiTheme="minorEastAsia" w:hAnsiTheme="minorEastAsia" w:cstheme="minorEastAsia"/>
          <w:color w:val="auto"/>
          <w:sz w:val="28"/>
          <w:szCs w:val="28"/>
        </w:rPr>
        <w:t>。</w:t>
      </w:r>
    </w:p>
    <w:p>
      <w:pPr>
        <w:pStyle w:val="2"/>
        <w:ind w:firstLine="560" w:firstLineChars="200"/>
      </w:pPr>
      <w:r>
        <w:rPr>
          <w:rFonts w:hint="eastAsia" w:asciiTheme="minorEastAsia" w:hAnsiTheme="minorEastAsia" w:cstheme="minorEastAsia"/>
          <w:color w:val="auto"/>
          <w:sz w:val="28"/>
          <w:szCs w:val="28"/>
        </w:rPr>
        <w:t>4.</w:t>
      </w:r>
      <w:r>
        <w:rPr>
          <w:rFonts w:hint="eastAsia" w:asciiTheme="minorEastAsia" w:hAnsiTheme="minorEastAsia" w:cstheme="minorEastAsia"/>
          <w:color w:val="auto"/>
          <w:sz w:val="28"/>
          <w:szCs w:val="28"/>
          <w:lang w:val="en-US" w:eastAsia="zh-CN"/>
        </w:rPr>
        <w:t>6</w:t>
      </w:r>
      <w:r>
        <w:rPr>
          <w:rFonts w:hint="eastAsia" w:asciiTheme="minorEastAsia" w:hAnsiTheme="minorEastAsia" w:cstheme="minorEastAsia"/>
          <w:color w:val="auto"/>
          <w:sz w:val="28"/>
          <w:szCs w:val="28"/>
        </w:rPr>
        <w:t xml:space="preserve"> </w:t>
      </w:r>
      <w:r>
        <w:rPr>
          <w:rFonts w:hint="eastAsia" w:asciiTheme="minorEastAsia" w:hAnsiTheme="minorEastAsia" w:eastAsiaTheme="minorEastAsia" w:cstheme="minorEastAsia"/>
          <w:color w:val="auto"/>
          <w:kern w:val="2"/>
          <w:sz w:val="28"/>
          <w:szCs w:val="28"/>
          <w:lang w:val="en-US" w:eastAsia="zh-CN"/>
        </w:rPr>
        <w:t>在正式结算依据发布后，当月发现电量差错的，交易中心按零售合同相关结算条款重新开展结算，相关冲正退补结果纳入次月结算依据</w:t>
      </w:r>
      <w:r>
        <w:rPr>
          <w:rFonts w:hint="eastAsia" w:asciiTheme="minorEastAsia" w:hAnsiTheme="minorEastAsia" w:eastAsiaTheme="minorEastAsia" w:cstheme="minorEastAsia"/>
          <w:color w:val="auto"/>
          <w:sz w:val="28"/>
          <w:szCs w:val="28"/>
        </w:rPr>
        <w:t>。</w:t>
      </w:r>
    </w:p>
    <w:p>
      <w:pPr>
        <w:spacing w:line="580" w:lineRule="exact"/>
        <w:ind w:firstLine="570"/>
        <w:rPr>
          <w:rFonts w:asciiTheme="minorEastAsia" w:hAnsiTheme="minorEastAsia" w:cstheme="minorEastAsia"/>
          <w:color w:val="auto"/>
          <w:sz w:val="28"/>
          <w:szCs w:val="28"/>
        </w:rPr>
      </w:pPr>
      <w:r>
        <w:rPr>
          <w:rFonts w:hint="eastAsia" w:asciiTheme="minorEastAsia" w:hAnsiTheme="minorEastAsia" w:cstheme="minorEastAsia"/>
          <w:color w:val="auto"/>
          <w:sz w:val="28"/>
          <w:szCs w:val="28"/>
        </w:rPr>
        <w:t>4.</w:t>
      </w:r>
      <w:r>
        <w:rPr>
          <w:rFonts w:hint="eastAsia" w:asciiTheme="minorEastAsia" w:hAnsiTheme="minorEastAsia" w:cstheme="minorEastAsia"/>
          <w:color w:val="auto"/>
          <w:sz w:val="28"/>
          <w:szCs w:val="28"/>
          <w:lang w:val="en-US" w:eastAsia="zh-CN"/>
        </w:rPr>
        <w:t>7</w:t>
      </w:r>
      <w:r>
        <w:rPr>
          <w:rFonts w:hint="eastAsia" w:asciiTheme="minorEastAsia" w:hAnsiTheme="minorEastAsia" w:cstheme="minorEastAsia"/>
          <w:color w:val="auto"/>
          <w:sz w:val="28"/>
          <w:szCs w:val="28"/>
        </w:rPr>
        <w:t xml:space="preserve"> 在交易中心发布正式结算依据次月及后续月份发现电量差错的，</w:t>
      </w:r>
      <w:r>
        <w:rPr>
          <w:rFonts w:hint="eastAsia" w:asciiTheme="minorEastAsia" w:hAnsiTheme="minorEastAsia" w:cstheme="minorEastAsia"/>
          <w:color w:val="auto"/>
          <w:sz w:val="28"/>
          <w:szCs w:val="28"/>
          <w:lang w:val="en-US" w:eastAsia="zh-CN"/>
        </w:rPr>
        <w:t>甲乙双方的</w:t>
      </w:r>
      <w:r>
        <w:rPr>
          <w:rFonts w:hint="eastAsia" w:asciiTheme="minorEastAsia" w:hAnsiTheme="minorEastAsia" w:cstheme="minorEastAsia"/>
          <w:color w:val="auto"/>
          <w:sz w:val="28"/>
          <w:szCs w:val="28"/>
        </w:rPr>
        <w:t>差错电量按标的月零售用户的零售套餐进行结算。</w:t>
      </w:r>
    </w:p>
    <w:p>
      <w:pPr>
        <w:spacing w:line="580" w:lineRule="exact"/>
        <w:ind w:firstLine="570"/>
        <w:rPr>
          <w:rFonts w:asciiTheme="minorEastAsia" w:hAnsiTheme="minorEastAsia" w:cstheme="minorEastAsia"/>
          <w:color w:val="auto"/>
          <w:sz w:val="28"/>
          <w:szCs w:val="28"/>
        </w:rPr>
      </w:pPr>
      <w:r>
        <w:rPr>
          <w:rFonts w:hint="eastAsia" w:asciiTheme="minorEastAsia" w:hAnsiTheme="minorEastAsia" w:cstheme="minorEastAsia"/>
          <w:color w:val="auto"/>
          <w:sz w:val="28"/>
          <w:szCs w:val="28"/>
        </w:rPr>
        <w:t>4.</w:t>
      </w:r>
      <w:r>
        <w:rPr>
          <w:rFonts w:hint="eastAsia" w:asciiTheme="minorEastAsia" w:hAnsiTheme="minorEastAsia" w:cstheme="minorEastAsia"/>
          <w:color w:val="auto"/>
          <w:sz w:val="28"/>
          <w:szCs w:val="28"/>
          <w:lang w:val="en-US" w:eastAsia="zh-CN"/>
        </w:rPr>
        <w:t>8</w:t>
      </w:r>
      <w:r>
        <w:rPr>
          <w:rFonts w:hint="eastAsia" w:asciiTheme="minorEastAsia" w:hAnsiTheme="minorEastAsia" w:cstheme="minorEastAsia"/>
          <w:color w:val="auto"/>
          <w:sz w:val="28"/>
          <w:szCs w:val="28"/>
        </w:rPr>
        <w:t>甲方</w:t>
      </w:r>
      <w:r>
        <w:rPr>
          <w:rFonts w:hint="eastAsia" w:cs="仿宋_GB2312" w:asciiTheme="minorEastAsia" w:hAnsiTheme="minorEastAsia"/>
          <w:color w:val="auto"/>
          <w:sz w:val="28"/>
          <w:szCs w:val="28"/>
        </w:rPr>
        <w:t>输配电价（含基本电费）、线损电费按照国家现行规定执行。甲方购电的基本电价按相关政策执行。</w:t>
      </w:r>
      <w:r>
        <w:rPr>
          <w:rFonts w:hint="eastAsia" w:asciiTheme="minorEastAsia" w:hAnsiTheme="minorEastAsia" w:cstheme="minorEastAsia"/>
          <w:color w:val="auto"/>
          <w:sz w:val="28"/>
          <w:szCs w:val="28"/>
        </w:rPr>
        <w:t>同时甲方须按照国家相关政策规定缴纳政府性基金及附加。合同有效期内，如遇国家及自治区进行调整，则按新规定执行。</w:t>
      </w:r>
    </w:p>
    <w:p>
      <w:pPr>
        <w:spacing w:line="600" w:lineRule="exact"/>
        <w:ind w:firstLine="641"/>
        <w:rPr>
          <w:rFonts w:asciiTheme="minorEastAsia" w:hAnsiTheme="minorEastAsia"/>
          <w:color w:val="auto"/>
          <w:sz w:val="28"/>
          <w:szCs w:val="28"/>
        </w:rPr>
      </w:pPr>
      <w:r>
        <w:rPr>
          <w:rFonts w:hint="eastAsia" w:asciiTheme="minorEastAsia" w:hAnsiTheme="minorEastAsia"/>
          <w:color w:val="auto"/>
          <w:sz w:val="28"/>
          <w:szCs w:val="28"/>
        </w:rPr>
        <w:t>4.</w:t>
      </w:r>
      <w:r>
        <w:rPr>
          <w:rFonts w:hint="eastAsia" w:asciiTheme="minorEastAsia" w:hAnsiTheme="minorEastAsia"/>
          <w:color w:val="auto"/>
          <w:sz w:val="28"/>
          <w:szCs w:val="28"/>
          <w:lang w:val="en-US" w:eastAsia="zh-CN"/>
        </w:rPr>
        <w:t>9</w:t>
      </w:r>
      <w:r>
        <w:rPr>
          <w:rFonts w:hint="eastAsia" w:asciiTheme="minorEastAsia" w:hAnsiTheme="minorEastAsia"/>
          <w:color w:val="auto"/>
          <w:sz w:val="28"/>
          <w:szCs w:val="28"/>
        </w:rPr>
        <w:t>甲乙双方约定交易价格可采用“浮动电价机制”。具体由甲乙双方另行约定。当达到“浮动电价机制”执行条件时，按相关规定调整当月及后续月份结算备案信息。</w:t>
      </w:r>
    </w:p>
    <w:p>
      <w:pPr>
        <w:spacing w:line="600" w:lineRule="exact"/>
        <w:ind w:firstLine="641"/>
        <w:rPr>
          <w:rFonts w:asciiTheme="minorEastAsia" w:hAnsiTheme="minorEastAsia"/>
          <w:color w:val="auto"/>
          <w:sz w:val="28"/>
          <w:szCs w:val="28"/>
        </w:rPr>
      </w:pPr>
      <w:r>
        <w:rPr>
          <w:rFonts w:hint="eastAsia" w:asciiTheme="minorEastAsia" w:hAnsiTheme="minorEastAsia"/>
          <w:color w:val="auto"/>
          <w:sz w:val="28"/>
          <w:szCs w:val="28"/>
        </w:rPr>
        <w:t>4.</w:t>
      </w:r>
      <w:r>
        <w:rPr>
          <w:rFonts w:hint="eastAsia" w:asciiTheme="minorEastAsia" w:hAnsiTheme="minorEastAsia"/>
          <w:color w:val="auto"/>
          <w:sz w:val="28"/>
          <w:szCs w:val="28"/>
          <w:lang w:val="en-US" w:eastAsia="zh-CN"/>
        </w:rPr>
        <w:t>10</w:t>
      </w:r>
      <w:r>
        <w:rPr>
          <w:rFonts w:hint="eastAsia" w:asciiTheme="minorEastAsia" w:hAnsiTheme="minorEastAsia"/>
          <w:color w:val="auto"/>
          <w:sz w:val="28"/>
          <w:szCs w:val="28"/>
        </w:rPr>
        <w:t>交易电费缴纳按照甲方与电网企业签订的《供用电合同》以及《预付费协议》规定实行预付费制度。双方均认可电网企业委托其下属供电企业完成对甲方的计量、抄表、电量结算和电费收取等相关事宜。</w:t>
      </w:r>
    </w:p>
    <w:p>
      <w:pPr>
        <w:spacing w:line="580" w:lineRule="exact"/>
        <w:ind w:firstLine="560" w:firstLineChars="200"/>
        <w:rPr>
          <w:rFonts w:ascii="宋体" w:hAnsi="宋体" w:cs="宋体"/>
          <w:color w:val="auto"/>
          <w:sz w:val="28"/>
          <w:szCs w:val="28"/>
        </w:rPr>
      </w:pPr>
      <w:r>
        <w:rPr>
          <w:rFonts w:hint="eastAsia" w:ascii="宋体" w:hAnsi="宋体" w:cs="宋体"/>
          <w:bCs/>
          <w:color w:val="auto"/>
          <w:sz w:val="28"/>
          <w:szCs w:val="28"/>
        </w:rPr>
        <w:t>4.</w:t>
      </w:r>
      <w:r>
        <w:rPr>
          <w:rFonts w:hint="eastAsia" w:ascii="宋体" w:hAnsi="宋体" w:cs="宋体"/>
          <w:bCs/>
          <w:color w:val="auto"/>
          <w:sz w:val="28"/>
          <w:szCs w:val="28"/>
          <w:lang w:val="en-US" w:eastAsia="zh-CN"/>
        </w:rPr>
        <w:t>11</w:t>
      </w:r>
      <w:r>
        <w:rPr>
          <w:rFonts w:hint="eastAsia" w:ascii="宋体" w:hAnsi="宋体" w:cs="宋体"/>
          <w:color w:val="auto"/>
          <w:sz w:val="28"/>
          <w:szCs w:val="28"/>
        </w:rPr>
        <w:t>电费的结算、支付</w:t>
      </w:r>
      <w:r>
        <w:rPr>
          <w:rFonts w:hint="eastAsia" w:ascii="宋体" w:hAnsi="宋体" w:cs="宋体"/>
          <w:bCs/>
          <w:color w:val="auto"/>
          <w:sz w:val="28"/>
          <w:szCs w:val="28"/>
        </w:rPr>
        <w:t>按</w:t>
      </w:r>
      <w:r>
        <w:rPr>
          <w:rFonts w:hint="eastAsia" w:ascii="宋体" w:hAnsi="宋体" w:cs="宋体"/>
          <w:color w:val="auto"/>
          <w:sz w:val="28"/>
          <w:szCs w:val="28"/>
        </w:rPr>
        <w:t>政府主管部门或电力交易中心印发的结算支付有关规定执行。</w:t>
      </w:r>
    </w:p>
    <w:p>
      <w:pPr>
        <w:ind w:firstLine="560"/>
        <w:rPr>
          <w:rFonts w:asciiTheme="minorEastAsia" w:hAnsiTheme="minorEastAsia"/>
          <w:color w:val="auto"/>
          <w:sz w:val="28"/>
          <w:szCs w:val="28"/>
        </w:rPr>
      </w:pPr>
      <w:r>
        <w:rPr>
          <w:rFonts w:hint="eastAsia" w:asciiTheme="minorEastAsia" w:hAnsiTheme="minorEastAsia"/>
          <w:color w:val="auto"/>
          <w:sz w:val="28"/>
          <w:szCs w:val="28"/>
        </w:rPr>
        <w:t>4.</w:t>
      </w:r>
      <w:r>
        <w:rPr>
          <w:rFonts w:hint="eastAsia" w:asciiTheme="minorEastAsia" w:hAnsiTheme="minorEastAsia"/>
          <w:color w:val="auto"/>
          <w:sz w:val="28"/>
          <w:szCs w:val="28"/>
          <w:lang w:val="en-US" w:eastAsia="zh-CN"/>
        </w:rPr>
        <w:t>12</w:t>
      </w:r>
      <w:r>
        <w:rPr>
          <w:rFonts w:asciiTheme="minorEastAsia" w:hAnsiTheme="minorEastAsia"/>
          <w:color w:val="auto"/>
          <w:sz w:val="28"/>
          <w:szCs w:val="28"/>
        </w:rPr>
        <w:t>银行及账号</w:t>
      </w:r>
    </w:p>
    <w:p>
      <w:pPr>
        <w:rPr>
          <w:rFonts w:asciiTheme="minorEastAsia" w:hAnsiTheme="minorEastAsia"/>
          <w:color w:val="auto"/>
          <w:sz w:val="28"/>
          <w:szCs w:val="28"/>
        </w:rPr>
      </w:pPr>
      <w:r>
        <w:rPr>
          <w:rFonts w:hint="eastAsia" w:asciiTheme="minorEastAsia" w:hAnsiTheme="minorEastAsia"/>
          <w:color w:val="auto"/>
          <w:sz w:val="28"/>
          <w:szCs w:val="28"/>
        </w:rPr>
        <w:t>甲方：</w:t>
      </w:r>
    </w:p>
    <w:p>
      <w:pPr>
        <w:rPr>
          <w:rFonts w:eastAsia="宋体" w:asciiTheme="minorEastAsia" w:hAnsiTheme="minorEastAsia"/>
          <w:color w:val="auto"/>
          <w:sz w:val="28"/>
          <w:szCs w:val="28"/>
        </w:rPr>
      </w:pPr>
      <w:r>
        <w:rPr>
          <w:rFonts w:hint="eastAsia" w:asciiTheme="minorEastAsia" w:hAnsiTheme="minorEastAsia"/>
          <w:color w:val="auto"/>
          <w:sz w:val="28"/>
          <w:szCs w:val="28"/>
        </w:rPr>
        <w:t>开户名称：</w:t>
      </w:r>
      <w:r>
        <w:rPr>
          <w:rFonts w:hint="eastAsia" w:asciiTheme="minorEastAsia" w:hAnsiTheme="minorEastAsia" w:cstheme="minorEastAsia"/>
          <w:color w:val="auto"/>
          <w:sz w:val="28"/>
          <w:szCs w:val="28"/>
          <w:u w:val="single"/>
        </w:rPr>
        <w:t xml:space="preserve">                         </w:t>
      </w:r>
    </w:p>
    <w:p>
      <w:pPr>
        <w:rPr>
          <w:rFonts w:asciiTheme="minorEastAsia" w:hAnsiTheme="minorEastAsia" w:cstheme="minorEastAsia"/>
          <w:color w:val="auto"/>
          <w:sz w:val="28"/>
          <w:szCs w:val="28"/>
          <w:u w:val="single"/>
        </w:rPr>
      </w:pPr>
      <w:r>
        <w:rPr>
          <w:rFonts w:hint="eastAsia" w:asciiTheme="minorEastAsia" w:hAnsiTheme="minorEastAsia"/>
          <w:color w:val="auto"/>
          <w:sz w:val="28"/>
          <w:szCs w:val="28"/>
        </w:rPr>
        <w:t>开户银行：</w:t>
      </w:r>
      <w:r>
        <w:rPr>
          <w:rFonts w:hint="eastAsia" w:asciiTheme="minorEastAsia" w:hAnsiTheme="minorEastAsia" w:cstheme="minorEastAsia"/>
          <w:color w:val="auto"/>
          <w:sz w:val="28"/>
          <w:szCs w:val="28"/>
          <w:u w:val="single"/>
        </w:rPr>
        <w:t xml:space="preserve">                         </w:t>
      </w:r>
    </w:p>
    <w:p>
      <w:pPr>
        <w:rPr>
          <w:rFonts w:eastAsia="宋体" w:asciiTheme="minorEastAsia" w:hAnsiTheme="minorEastAsia"/>
          <w:color w:val="auto"/>
          <w:sz w:val="28"/>
          <w:szCs w:val="28"/>
        </w:rPr>
      </w:pPr>
      <w:r>
        <w:rPr>
          <w:rFonts w:hint="eastAsia" w:asciiTheme="minorEastAsia" w:hAnsiTheme="minorEastAsia"/>
          <w:color w:val="auto"/>
          <w:sz w:val="28"/>
          <w:szCs w:val="28"/>
        </w:rPr>
        <w:t>账号：</w:t>
      </w:r>
      <w:r>
        <w:rPr>
          <w:rFonts w:hint="eastAsia" w:asciiTheme="minorEastAsia" w:hAnsiTheme="minorEastAsia" w:cstheme="minorEastAsia"/>
          <w:color w:val="auto"/>
          <w:sz w:val="28"/>
          <w:szCs w:val="28"/>
          <w:u w:val="single"/>
        </w:rPr>
        <w:t xml:space="preserve">                             </w:t>
      </w:r>
    </w:p>
    <w:p>
      <w:pPr>
        <w:rPr>
          <w:rFonts w:asciiTheme="minorEastAsia" w:hAnsiTheme="minorEastAsia"/>
          <w:color w:val="auto"/>
          <w:sz w:val="28"/>
          <w:szCs w:val="28"/>
        </w:rPr>
      </w:pPr>
      <w:r>
        <w:rPr>
          <w:rFonts w:hint="eastAsia" w:asciiTheme="minorEastAsia" w:hAnsiTheme="minorEastAsia"/>
          <w:color w:val="auto"/>
          <w:sz w:val="28"/>
          <w:szCs w:val="28"/>
        </w:rPr>
        <w:t>乙方：</w:t>
      </w:r>
    </w:p>
    <w:p>
      <w:pPr>
        <w:rPr>
          <w:rFonts w:eastAsia="宋体" w:asciiTheme="minorEastAsia" w:hAnsiTheme="minorEastAsia"/>
          <w:color w:val="auto"/>
          <w:sz w:val="28"/>
          <w:szCs w:val="28"/>
        </w:rPr>
      </w:pPr>
      <w:r>
        <w:rPr>
          <w:rFonts w:hint="eastAsia" w:asciiTheme="minorEastAsia" w:hAnsiTheme="minorEastAsia"/>
          <w:color w:val="auto"/>
          <w:sz w:val="28"/>
          <w:szCs w:val="28"/>
        </w:rPr>
        <w:t>开户名称：</w:t>
      </w:r>
      <w:r>
        <w:rPr>
          <w:rFonts w:hint="eastAsia" w:asciiTheme="minorEastAsia" w:hAnsiTheme="minorEastAsia" w:cstheme="minorEastAsia"/>
          <w:color w:val="auto"/>
          <w:sz w:val="28"/>
          <w:szCs w:val="28"/>
          <w:u w:val="single"/>
        </w:rPr>
        <w:t xml:space="preserve">                         </w:t>
      </w:r>
    </w:p>
    <w:p>
      <w:pPr>
        <w:rPr>
          <w:rFonts w:eastAsia="宋体" w:asciiTheme="minorEastAsia" w:hAnsiTheme="minorEastAsia"/>
          <w:color w:val="auto"/>
          <w:sz w:val="28"/>
          <w:szCs w:val="28"/>
        </w:rPr>
      </w:pPr>
      <w:r>
        <w:rPr>
          <w:rFonts w:hint="eastAsia" w:asciiTheme="minorEastAsia" w:hAnsiTheme="minorEastAsia"/>
          <w:color w:val="auto"/>
          <w:sz w:val="28"/>
          <w:szCs w:val="28"/>
        </w:rPr>
        <w:t>开户银行：</w:t>
      </w:r>
      <w:r>
        <w:rPr>
          <w:rFonts w:hint="eastAsia" w:asciiTheme="minorEastAsia" w:hAnsiTheme="minorEastAsia" w:cstheme="minorEastAsia"/>
          <w:color w:val="auto"/>
          <w:sz w:val="28"/>
          <w:szCs w:val="28"/>
          <w:u w:val="single"/>
        </w:rPr>
        <w:t xml:space="preserve">                         </w:t>
      </w:r>
    </w:p>
    <w:p>
      <w:pPr>
        <w:rPr>
          <w:rFonts w:eastAsia="宋体" w:asciiTheme="minorEastAsia" w:hAnsiTheme="minorEastAsia"/>
          <w:color w:val="auto"/>
          <w:sz w:val="28"/>
          <w:szCs w:val="28"/>
        </w:rPr>
      </w:pPr>
      <w:r>
        <w:rPr>
          <w:rFonts w:hint="eastAsia" w:asciiTheme="minorEastAsia" w:hAnsiTheme="minorEastAsia"/>
          <w:color w:val="auto"/>
          <w:sz w:val="28"/>
          <w:szCs w:val="28"/>
        </w:rPr>
        <w:t>账号：</w:t>
      </w:r>
      <w:r>
        <w:rPr>
          <w:rFonts w:hint="eastAsia" w:asciiTheme="minorEastAsia" w:hAnsiTheme="minorEastAsia" w:cstheme="minorEastAsia"/>
          <w:color w:val="auto"/>
          <w:sz w:val="28"/>
          <w:szCs w:val="28"/>
          <w:u w:val="single"/>
        </w:rPr>
        <w:t xml:space="preserve">                             </w:t>
      </w:r>
    </w:p>
    <w:p>
      <w:pPr>
        <w:pStyle w:val="17"/>
        <w:spacing w:beforeLines="50" w:beforeAutospacing="0" w:afterLines="50" w:afterAutospacing="0"/>
        <w:ind w:left="0" w:leftChars="0"/>
        <w:jc w:val="center"/>
        <w:outlineLvl w:val="0"/>
        <w:rPr>
          <w:rFonts w:ascii="黑体" w:hAnsi="黑体" w:eastAsia="黑体" w:cs="黑体"/>
          <w:color w:val="auto"/>
          <w:sz w:val="30"/>
          <w:szCs w:val="30"/>
        </w:rPr>
      </w:pPr>
      <w:bookmarkStart w:id="50" w:name="_Toc9384"/>
      <w:bookmarkStart w:id="51" w:name="_Toc9467_WPSOffice_Level1"/>
      <w:bookmarkStart w:id="52" w:name="_Toc9031"/>
      <w:r>
        <w:rPr>
          <w:rFonts w:hint="eastAsia" w:ascii="黑体" w:hAnsi="黑体" w:eastAsia="黑体" w:cs="黑体"/>
          <w:color w:val="auto"/>
          <w:sz w:val="30"/>
          <w:szCs w:val="30"/>
        </w:rPr>
        <w:t>第5章　电能计量</w:t>
      </w:r>
      <w:bookmarkEnd w:id="48"/>
      <w:bookmarkEnd w:id="49"/>
      <w:bookmarkEnd w:id="50"/>
      <w:bookmarkEnd w:id="51"/>
      <w:bookmarkEnd w:id="52"/>
    </w:p>
    <w:p>
      <w:pPr>
        <w:ind w:firstLine="560" w:firstLineChars="200"/>
        <w:rPr>
          <w:rFonts w:asciiTheme="minorEastAsia" w:hAnsiTheme="minorEastAsia"/>
          <w:color w:val="auto"/>
          <w:sz w:val="28"/>
          <w:szCs w:val="28"/>
        </w:rPr>
      </w:pPr>
      <w:r>
        <w:rPr>
          <w:rFonts w:asciiTheme="minorEastAsia" w:hAnsiTheme="minorEastAsia"/>
          <w:color w:val="auto"/>
          <w:sz w:val="28"/>
          <w:szCs w:val="28"/>
        </w:rPr>
        <w:t>5.1电力交易</w:t>
      </w:r>
      <w:r>
        <w:rPr>
          <w:rFonts w:hint="eastAsia" w:asciiTheme="minorEastAsia" w:hAnsiTheme="minorEastAsia"/>
          <w:color w:val="auto"/>
          <w:sz w:val="28"/>
          <w:szCs w:val="28"/>
        </w:rPr>
        <w:t>结算电量</w:t>
      </w:r>
      <w:r>
        <w:rPr>
          <w:rFonts w:asciiTheme="minorEastAsia" w:hAnsiTheme="minorEastAsia"/>
          <w:color w:val="auto"/>
          <w:sz w:val="28"/>
          <w:szCs w:val="28"/>
        </w:rPr>
        <w:t>计量点</w:t>
      </w:r>
      <w:r>
        <w:rPr>
          <w:rFonts w:hint="eastAsia" w:asciiTheme="minorEastAsia" w:hAnsiTheme="minorEastAsia"/>
          <w:color w:val="auto"/>
          <w:sz w:val="28"/>
          <w:szCs w:val="28"/>
        </w:rPr>
        <w:t>以</w:t>
      </w:r>
      <w:r>
        <w:rPr>
          <w:rFonts w:asciiTheme="minorEastAsia" w:hAnsiTheme="minorEastAsia"/>
          <w:color w:val="auto"/>
          <w:sz w:val="28"/>
          <w:szCs w:val="28"/>
        </w:rPr>
        <w:t>甲方与电网企业签订的《供用电合同》</w:t>
      </w:r>
      <w:r>
        <w:rPr>
          <w:rFonts w:hint="eastAsia" w:asciiTheme="minorEastAsia" w:hAnsiTheme="minorEastAsia"/>
          <w:color w:val="auto"/>
          <w:sz w:val="28"/>
          <w:szCs w:val="28"/>
        </w:rPr>
        <w:t>约定的电能计量装置关口表安装位置为准</w:t>
      </w:r>
      <w:r>
        <w:rPr>
          <w:rFonts w:asciiTheme="minorEastAsia" w:hAnsiTheme="minorEastAsia"/>
          <w:color w:val="auto"/>
          <w:sz w:val="28"/>
          <w:szCs w:val="28"/>
        </w:rPr>
        <w:t>。</w:t>
      </w:r>
    </w:p>
    <w:p>
      <w:pPr>
        <w:ind w:firstLine="560" w:firstLineChars="200"/>
        <w:rPr>
          <w:rFonts w:hint="eastAsia" w:asciiTheme="minorEastAsia" w:hAnsiTheme="minorEastAsia"/>
          <w:color w:val="auto"/>
          <w:sz w:val="28"/>
          <w:szCs w:val="28"/>
        </w:rPr>
      </w:pPr>
      <w:r>
        <w:rPr>
          <w:rFonts w:asciiTheme="minorEastAsia" w:hAnsiTheme="minorEastAsia"/>
          <w:color w:val="auto"/>
          <w:sz w:val="28"/>
          <w:szCs w:val="28"/>
        </w:rPr>
        <w:t>5.2电力交易涉及的电能计量装置、电能计量装置校验要求和计量装置异常处理办法按</w:t>
      </w:r>
      <w:r>
        <w:rPr>
          <w:rFonts w:hint="eastAsia" w:asciiTheme="minorEastAsia" w:hAnsiTheme="minorEastAsia"/>
          <w:color w:val="auto"/>
          <w:sz w:val="28"/>
          <w:szCs w:val="28"/>
        </w:rPr>
        <w:t>甲方</w:t>
      </w:r>
      <w:r>
        <w:rPr>
          <w:rFonts w:asciiTheme="minorEastAsia" w:hAnsiTheme="minorEastAsia"/>
          <w:color w:val="auto"/>
          <w:sz w:val="28"/>
          <w:szCs w:val="28"/>
        </w:rPr>
        <w:t>与</w:t>
      </w:r>
      <w:r>
        <w:rPr>
          <w:rFonts w:hint="eastAsia" w:asciiTheme="minorEastAsia" w:hAnsiTheme="minorEastAsia"/>
          <w:color w:val="auto"/>
          <w:sz w:val="28"/>
          <w:szCs w:val="28"/>
        </w:rPr>
        <w:t>电网企业</w:t>
      </w:r>
      <w:r>
        <w:rPr>
          <w:rFonts w:asciiTheme="minorEastAsia" w:hAnsiTheme="minorEastAsia"/>
          <w:color w:val="auto"/>
          <w:sz w:val="28"/>
          <w:szCs w:val="28"/>
        </w:rPr>
        <w:t>签订的《供用电合同》</w:t>
      </w:r>
      <w:r>
        <w:rPr>
          <w:rFonts w:hint="eastAsia" w:asciiTheme="minorEastAsia" w:hAnsiTheme="minorEastAsia"/>
          <w:color w:val="auto"/>
          <w:sz w:val="28"/>
          <w:szCs w:val="28"/>
        </w:rPr>
        <w:t>约定执行。</w:t>
      </w:r>
    </w:p>
    <w:p>
      <w:pPr>
        <w:ind w:firstLine="564"/>
      </w:pPr>
      <w:r>
        <w:rPr>
          <w:rFonts w:hint="eastAsia" w:asciiTheme="minorEastAsia" w:hAnsiTheme="minorEastAsia" w:eastAsiaTheme="minorEastAsia"/>
          <w:sz w:val="28"/>
          <w:szCs w:val="28"/>
          <w:lang w:val="en-US" w:eastAsia="zh-CN"/>
        </w:rPr>
        <w:t>5.3本合同履行期间，若电能计量点发生变更，各方应以书面方式对计量点变更情况进行确认</w:t>
      </w:r>
      <w:r>
        <w:rPr>
          <w:rFonts w:asciiTheme="minorEastAsia" w:hAnsiTheme="minorEastAsia" w:eastAsiaTheme="minorEastAsia"/>
          <w:sz w:val="28"/>
          <w:szCs w:val="28"/>
        </w:rPr>
        <w:t>。</w:t>
      </w:r>
    </w:p>
    <w:p>
      <w:pPr>
        <w:pStyle w:val="17"/>
        <w:spacing w:beforeLines="50" w:beforeAutospacing="0" w:afterLines="50" w:afterAutospacing="0"/>
        <w:ind w:left="0" w:leftChars="0"/>
        <w:jc w:val="center"/>
        <w:outlineLvl w:val="0"/>
        <w:rPr>
          <w:rFonts w:ascii="黑体" w:hAnsi="黑体" w:eastAsia="黑体" w:cs="黑体"/>
          <w:color w:val="auto"/>
          <w:sz w:val="30"/>
          <w:szCs w:val="30"/>
        </w:rPr>
      </w:pPr>
      <w:bookmarkStart w:id="53" w:name="_Toc732"/>
      <w:bookmarkStart w:id="54" w:name="_Toc6974"/>
      <w:bookmarkStart w:id="55" w:name="_Toc31951"/>
      <w:bookmarkStart w:id="56" w:name="_Toc26479"/>
      <w:bookmarkStart w:id="57" w:name="_Toc31539"/>
      <w:bookmarkStart w:id="58" w:name="_Toc22079_WPSOffice_Level1"/>
      <w:bookmarkStart w:id="59" w:name="_Toc26866"/>
      <w:r>
        <w:rPr>
          <w:rFonts w:hint="eastAsia" w:ascii="黑体" w:hAnsi="黑体" w:eastAsia="黑体" w:cs="黑体"/>
          <w:color w:val="auto"/>
          <w:sz w:val="30"/>
          <w:szCs w:val="30"/>
        </w:rPr>
        <w:t>第6章  合同生效</w:t>
      </w:r>
      <w:bookmarkEnd w:id="53"/>
      <w:bookmarkEnd w:id="54"/>
      <w:r>
        <w:rPr>
          <w:rFonts w:hint="eastAsia" w:ascii="黑体" w:hAnsi="黑体" w:eastAsia="黑体" w:cs="黑体"/>
          <w:color w:val="auto"/>
          <w:sz w:val="30"/>
          <w:szCs w:val="30"/>
        </w:rPr>
        <w:t>和期限</w:t>
      </w:r>
      <w:bookmarkEnd w:id="55"/>
      <w:bookmarkEnd w:id="56"/>
      <w:bookmarkEnd w:id="57"/>
      <w:bookmarkEnd w:id="58"/>
      <w:bookmarkEnd w:id="59"/>
    </w:p>
    <w:p>
      <w:pPr>
        <w:ind w:firstLine="641"/>
        <w:rPr>
          <w:rFonts w:asciiTheme="minorEastAsia" w:hAnsiTheme="minorEastAsia" w:cstheme="minorEastAsia"/>
          <w:color w:val="auto"/>
          <w:sz w:val="28"/>
          <w:szCs w:val="28"/>
        </w:rPr>
      </w:pPr>
      <w:bookmarkStart w:id="60" w:name="_Toc10340"/>
      <w:bookmarkStart w:id="61" w:name="_Toc20087"/>
      <w:bookmarkStart w:id="62" w:name="_Toc20282"/>
      <w:bookmarkStart w:id="63" w:name="_Toc15775"/>
      <w:r>
        <w:rPr>
          <w:rFonts w:hint="eastAsia" w:asciiTheme="minorEastAsia" w:hAnsiTheme="minorEastAsia" w:cstheme="minorEastAsia"/>
          <w:color w:val="auto"/>
          <w:sz w:val="28"/>
          <w:szCs w:val="28"/>
        </w:rPr>
        <w:t>6.1 本合同的生效条件：</w:t>
      </w:r>
    </w:p>
    <w:p>
      <w:pPr>
        <w:ind w:firstLine="641"/>
        <w:rPr>
          <w:rFonts w:asciiTheme="minorEastAsia" w:hAnsiTheme="minorEastAsia" w:cstheme="minorEastAsia"/>
          <w:color w:val="auto"/>
          <w:sz w:val="28"/>
          <w:szCs w:val="28"/>
        </w:rPr>
      </w:pPr>
      <w:r>
        <w:rPr>
          <w:rFonts w:hint="eastAsia" w:asciiTheme="minorEastAsia" w:hAnsiTheme="minorEastAsia" w:cstheme="minorEastAsia"/>
          <w:color w:val="auto"/>
          <w:sz w:val="28"/>
          <w:szCs w:val="28"/>
        </w:rPr>
        <w:t>本合同甲、乙两方通过</w:t>
      </w:r>
      <w:r>
        <w:rPr>
          <w:rFonts w:hint="eastAsia" w:asciiTheme="minorEastAsia" w:hAnsiTheme="minorEastAsia" w:cstheme="minorEastAsia"/>
          <w:color w:val="auto"/>
          <w:sz w:val="28"/>
          <w:szCs w:val="28"/>
          <w:lang w:eastAsia="zh-CN"/>
        </w:rPr>
        <w:t>电力交易平台</w:t>
      </w:r>
      <w:r>
        <w:rPr>
          <w:rFonts w:hint="eastAsia" w:asciiTheme="minorEastAsia" w:hAnsiTheme="minorEastAsia" w:cstheme="minorEastAsia"/>
          <w:color w:val="auto"/>
          <w:sz w:val="28"/>
          <w:szCs w:val="28"/>
        </w:rPr>
        <w:t>线上加盖电子印章后生效。</w:t>
      </w:r>
    </w:p>
    <w:p>
      <w:pPr>
        <w:spacing w:line="600" w:lineRule="exact"/>
        <w:ind w:firstLine="641"/>
        <w:rPr>
          <w:rFonts w:asciiTheme="minorEastAsia" w:hAnsiTheme="minorEastAsia" w:cstheme="minorEastAsia"/>
          <w:color w:val="auto"/>
          <w:sz w:val="28"/>
          <w:szCs w:val="28"/>
        </w:rPr>
      </w:pPr>
      <w:r>
        <w:rPr>
          <w:rFonts w:hint="eastAsia" w:asciiTheme="minorEastAsia" w:hAnsiTheme="minorEastAsia" w:cstheme="minorEastAsia"/>
          <w:color w:val="auto"/>
          <w:sz w:val="28"/>
          <w:szCs w:val="28"/>
        </w:rPr>
        <w:t>6.2</w:t>
      </w:r>
      <w:r>
        <w:rPr>
          <w:rFonts w:hint="eastAsia" w:asciiTheme="minorEastAsia" w:hAnsiTheme="minorEastAsia"/>
          <w:color w:val="auto"/>
          <w:sz w:val="28"/>
          <w:szCs w:val="28"/>
        </w:rPr>
        <w:t>双方一致约定：自</w:t>
      </w:r>
      <w:r>
        <w:rPr>
          <w:rFonts w:hint="eastAsia" w:asciiTheme="minorEastAsia" w:hAnsiTheme="minorEastAsia"/>
          <w:color w:val="auto"/>
          <w:sz w:val="28"/>
          <w:szCs w:val="28"/>
          <w:u w:val="single"/>
        </w:rPr>
        <w:t xml:space="preserve">    </w:t>
      </w:r>
      <w:r>
        <w:rPr>
          <w:rFonts w:hint="eastAsia" w:asciiTheme="minorEastAsia" w:hAnsiTheme="minorEastAsia"/>
          <w:color w:val="auto"/>
          <w:sz w:val="28"/>
          <w:szCs w:val="28"/>
        </w:rPr>
        <w:t>年</w:t>
      </w:r>
      <w:r>
        <w:rPr>
          <w:rFonts w:hint="eastAsia" w:asciiTheme="minorEastAsia" w:hAnsiTheme="minorEastAsia"/>
          <w:color w:val="auto"/>
          <w:sz w:val="28"/>
          <w:szCs w:val="28"/>
          <w:u w:val="single"/>
        </w:rPr>
        <w:t xml:space="preserve">   </w:t>
      </w:r>
      <w:r>
        <w:rPr>
          <w:rFonts w:hint="eastAsia" w:asciiTheme="minorEastAsia" w:hAnsiTheme="minorEastAsia"/>
          <w:color w:val="auto"/>
          <w:sz w:val="28"/>
          <w:szCs w:val="28"/>
        </w:rPr>
        <w:t>月至</w:t>
      </w:r>
      <w:r>
        <w:rPr>
          <w:rFonts w:hint="eastAsia" w:asciiTheme="minorEastAsia" w:hAnsiTheme="minorEastAsia"/>
          <w:color w:val="auto"/>
          <w:sz w:val="28"/>
          <w:szCs w:val="28"/>
          <w:u w:val="single"/>
        </w:rPr>
        <w:t xml:space="preserve">    </w:t>
      </w:r>
      <w:r>
        <w:rPr>
          <w:rFonts w:hint="eastAsia" w:asciiTheme="minorEastAsia" w:hAnsiTheme="minorEastAsia"/>
          <w:color w:val="auto"/>
          <w:sz w:val="28"/>
          <w:szCs w:val="28"/>
        </w:rPr>
        <w:t>年</w:t>
      </w:r>
      <w:r>
        <w:rPr>
          <w:rFonts w:hint="eastAsia" w:asciiTheme="minorEastAsia" w:hAnsiTheme="minorEastAsia"/>
          <w:color w:val="auto"/>
          <w:sz w:val="28"/>
          <w:szCs w:val="28"/>
          <w:u w:val="single"/>
        </w:rPr>
        <w:t xml:space="preserve">   </w:t>
      </w:r>
      <w:r>
        <w:rPr>
          <w:rFonts w:hint="eastAsia" w:asciiTheme="minorEastAsia" w:hAnsiTheme="minorEastAsia"/>
          <w:color w:val="auto"/>
          <w:sz w:val="28"/>
          <w:szCs w:val="28"/>
        </w:rPr>
        <w:t>月</w:t>
      </w:r>
      <w:r>
        <w:rPr>
          <w:rFonts w:hint="eastAsia" w:asciiTheme="minorEastAsia" w:hAnsiTheme="minorEastAsia"/>
          <w:color w:val="auto"/>
          <w:sz w:val="28"/>
          <w:szCs w:val="28"/>
          <w:lang w:val="en-US" w:eastAsia="zh-CN"/>
        </w:rPr>
        <w:t>为</w:t>
      </w:r>
      <w:r>
        <w:rPr>
          <w:rFonts w:hint="eastAsia" w:asciiTheme="minorEastAsia" w:hAnsiTheme="minorEastAsia"/>
          <w:color w:val="auto"/>
          <w:sz w:val="28"/>
          <w:szCs w:val="28"/>
        </w:rPr>
        <w:t>零售服务期限（</w:t>
      </w:r>
      <w:r>
        <w:rPr>
          <w:rFonts w:hint="eastAsia" w:asciiTheme="minorEastAsia" w:hAnsiTheme="minorEastAsia"/>
          <w:b/>
          <w:bCs/>
          <w:color w:val="auto"/>
          <w:sz w:val="28"/>
          <w:szCs w:val="28"/>
        </w:rPr>
        <w:t>即本合同有效期</w:t>
      </w:r>
      <w:r>
        <w:rPr>
          <w:rFonts w:hint="eastAsia" w:asciiTheme="minorEastAsia" w:hAnsiTheme="minorEastAsia"/>
          <w:color w:val="auto"/>
          <w:sz w:val="28"/>
          <w:szCs w:val="28"/>
        </w:rPr>
        <w:t>），由乙方为甲方提供电力市场化交易</w:t>
      </w:r>
      <w:r>
        <w:rPr>
          <w:rFonts w:hint="eastAsia" w:asciiTheme="minorEastAsia" w:hAnsiTheme="minorEastAsia"/>
          <w:color w:val="auto"/>
          <w:sz w:val="28"/>
          <w:szCs w:val="28"/>
          <w:lang w:val="en-US" w:eastAsia="zh-CN"/>
        </w:rPr>
        <w:t>零售</w:t>
      </w:r>
      <w:r>
        <w:rPr>
          <w:rFonts w:hint="eastAsia" w:asciiTheme="minorEastAsia" w:hAnsiTheme="minorEastAsia"/>
          <w:color w:val="auto"/>
          <w:sz w:val="28"/>
          <w:szCs w:val="28"/>
        </w:rPr>
        <w:t>服务。</w:t>
      </w:r>
    </w:p>
    <w:p>
      <w:pPr>
        <w:pStyle w:val="17"/>
        <w:spacing w:beforeLines="50" w:beforeAutospacing="0" w:afterLines="50" w:afterAutospacing="0"/>
        <w:ind w:left="0" w:leftChars="0"/>
        <w:jc w:val="center"/>
        <w:outlineLvl w:val="0"/>
        <w:rPr>
          <w:rFonts w:ascii="黑体" w:hAnsi="黑体" w:eastAsia="黑体" w:cs="黑体"/>
          <w:color w:val="auto"/>
          <w:sz w:val="30"/>
          <w:szCs w:val="30"/>
        </w:rPr>
      </w:pPr>
      <w:bookmarkStart w:id="64" w:name="_Toc29913_WPSOffice_Level1"/>
      <w:bookmarkStart w:id="65" w:name="_Toc8783"/>
      <w:bookmarkStart w:id="66" w:name="_Toc16301"/>
      <w:r>
        <w:rPr>
          <w:rFonts w:hint="eastAsia" w:ascii="黑体" w:hAnsi="黑体" w:eastAsia="黑体" w:cs="黑体"/>
          <w:color w:val="auto"/>
          <w:sz w:val="30"/>
          <w:szCs w:val="30"/>
        </w:rPr>
        <w:t>第7章  合同变更</w:t>
      </w:r>
      <w:bookmarkEnd w:id="60"/>
      <w:bookmarkEnd w:id="61"/>
      <w:bookmarkEnd w:id="62"/>
      <w:bookmarkEnd w:id="63"/>
      <w:bookmarkEnd w:id="64"/>
      <w:r>
        <w:rPr>
          <w:rFonts w:hint="eastAsia" w:ascii="黑体" w:hAnsi="黑体" w:eastAsia="黑体" w:cs="黑体"/>
          <w:color w:val="auto"/>
          <w:sz w:val="30"/>
          <w:szCs w:val="30"/>
        </w:rPr>
        <w:t>和解除</w:t>
      </w:r>
      <w:bookmarkEnd w:id="65"/>
      <w:bookmarkEnd w:id="66"/>
    </w:p>
    <w:p>
      <w:pPr>
        <w:ind w:firstLine="560" w:firstLineChars="200"/>
        <w:rPr>
          <w:rFonts w:hint="eastAsia" w:asciiTheme="minorEastAsia" w:hAnsiTheme="minorEastAsia" w:cstheme="minorEastAsia"/>
          <w:color w:val="auto"/>
          <w:sz w:val="28"/>
          <w:szCs w:val="28"/>
        </w:rPr>
      </w:pPr>
      <w:bookmarkStart w:id="67" w:name="_Toc21316"/>
      <w:bookmarkStart w:id="68" w:name="_Toc4702"/>
      <w:bookmarkStart w:id="69" w:name="_Toc7393"/>
      <w:bookmarkStart w:id="70" w:name="_Toc18411"/>
      <w:r>
        <w:rPr>
          <w:rFonts w:hint="eastAsia" w:asciiTheme="minorEastAsia" w:hAnsiTheme="minorEastAsia" w:cstheme="minorEastAsia"/>
          <w:color w:val="auto"/>
          <w:sz w:val="28"/>
          <w:szCs w:val="28"/>
        </w:rPr>
        <w:t>7.1本合同的任何修改、补充或变更必须以书面的形式进行，双方加盖公章后方为有效。</w:t>
      </w:r>
    </w:p>
    <w:p>
      <w:pPr>
        <w:pStyle w:val="17"/>
        <w:spacing w:before="0" w:beforeAutospacing="0" w:after="0" w:afterAutospacing="0"/>
        <w:ind w:left="0" w:leftChars="0" w:firstLine="560" w:firstLineChars="200"/>
        <w:rPr>
          <w:rFonts w:asciiTheme="minorEastAsia" w:hAnsiTheme="minorEastAsia" w:cstheme="minorEastAsia"/>
          <w:color w:val="auto"/>
          <w:sz w:val="28"/>
          <w:szCs w:val="28"/>
        </w:rPr>
      </w:pPr>
      <w:r>
        <w:rPr>
          <w:rFonts w:hint="eastAsia" w:asciiTheme="minorEastAsia" w:hAnsiTheme="minorEastAsia" w:cstheme="minorEastAsia"/>
          <w:color w:val="auto"/>
          <w:sz w:val="28"/>
          <w:szCs w:val="28"/>
        </w:rPr>
        <w:t>7.2因国家法律、法规发生变化或者政府有关部门、监管机构出台有关规定、规则或经协商一致，双方变更本合同。</w:t>
      </w:r>
    </w:p>
    <w:p>
      <w:pPr>
        <w:pStyle w:val="17"/>
        <w:snapToGrid w:val="0"/>
        <w:spacing w:before="0" w:beforeAutospacing="0" w:after="0" w:afterAutospacing="0"/>
        <w:ind w:left="0" w:leftChars="0" w:firstLine="560" w:firstLineChars="200"/>
        <w:rPr>
          <w:rFonts w:asciiTheme="minorEastAsia" w:hAnsiTheme="minorEastAsia"/>
          <w:color w:val="auto"/>
          <w:sz w:val="28"/>
          <w:szCs w:val="28"/>
        </w:rPr>
      </w:pPr>
      <w:r>
        <w:rPr>
          <w:rFonts w:hint="eastAsia" w:asciiTheme="minorEastAsia" w:hAnsiTheme="minorEastAsia"/>
          <w:color w:val="auto"/>
          <w:sz w:val="28"/>
          <w:szCs w:val="28"/>
        </w:rPr>
        <w:t>7.3一方发生下列事件，则对方有权在发出解除通知后解除本合同：</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（1）一方被申请破产、清算或被吊销营业执照；</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（2）一方被政府有关部门和社会组织依法依规对其他领域失信行为做出处理，被纳入涉电力领域失信联合惩戒对象名单或诚信状况重点关注名单的；</w:t>
      </w:r>
    </w:p>
    <w:p>
      <w:pPr>
        <w:ind w:firstLine="560" w:firstLineChars="200"/>
        <w:rPr>
          <w:rFonts w:hint="eastAsia" w:asciiTheme="minorEastAsia" w:hAnsiTheme="minorEastAsia" w:eastAsiaTheme="minorEastAsia"/>
          <w:color w:val="auto"/>
          <w:sz w:val="28"/>
          <w:szCs w:val="28"/>
          <w:lang w:eastAsia="zh-CN"/>
        </w:rPr>
      </w:pPr>
      <w:r>
        <w:rPr>
          <w:rFonts w:hint="eastAsia" w:asciiTheme="minorEastAsia" w:hAnsiTheme="minorEastAsia"/>
          <w:color w:val="auto"/>
          <w:sz w:val="28"/>
          <w:szCs w:val="28"/>
        </w:rPr>
        <w:t>（3）广西电力市场主体被政府主管部门、监管机构认定的不适于继续参与电力市场化交易的</w:t>
      </w:r>
      <w:r>
        <w:rPr>
          <w:rFonts w:hint="eastAsia" w:asciiTheme="minorEastAsia" w:hAnsiTheme="minorEastAsia"/>
          <w:color w:val="auto"/>
          <w:sz w:val="28"/>
          <w:szCs w:val="28"/>
          <w:lang w:eastAsia="zh-CN"/>
        </w:rPr>
        <w:t>；</w:t>
      </w:r>
    </w:p>
    <w:p>
      <w:pPr>
        <w:pStyle w:val="2"/>
        <w:rPr>
          <w:rFonts w:hint="eastAsia" w:ascii="宋体" w:hAnsi="宋体" w:eastAsia="宋体" w:cs="宋体"/>
          <w:sz w:val="28"/>
          <w:szCs w:val="28"/>
          <w:lang w:val="en-US" w:eastAsia="zh-CN"/>
        </w:rPr>
      </w:pP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4</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其他。</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7.4满足解除合同条件的（含双方协商一致），可解除本合同。</w:t>
      </w:r>
    </w:p>
    <w:p>
      <w:pPr>
        <w:ind w:firstLine="560" w:firstLineChars="200"/>
        <w:rPr>
          <w:rFonts w:asciiTheme="minorEastAsia" w:hAnsiTheme="minorEastAsia"/>
          <w:color w:val="auto"/>
          <w:sz w:val="28"/>
          <w:szCs w:val="28"/>
          <w:u w:val="single"/>
        </w:rPr>
      </w:pPr>
      <w:r>
        <w:rPr>
          <w:rFonts w:hint="eastAsia" w:asciiTheme="minorEastAsia" w:hAnsiTheme="minorEastAsia"/>
          <w:color w:val="auto"/>
          <w:sz w:val="28"/>
          <w:szCs w:val="28"/>
        </w:rPr>
        <w:t>7.5双方不得擅自终止、解除本合同。如果因一方原因导致合同解除，则该方应赔偿对方因此而遭受的损失。</w:t>
      </w:r>
    </w:p>
    <w:p>
      <w:pPr>
        <w:pStyle w:val="17"/>
        <w:spacing w:beforeLines="50" w:beforeAutospacing="0" w:afterLines="50" w:afterAutospacing="0"/>
        <w:ind w:left="0" w:leftChars="0"/>
        <w:jc w:val="center"/>
        <w:outlineLvl w:val="0"/>
        <w:rPr>
          <w:rFonts w:ascii="黑体" w:hAnsi="黑体" w:eastAsia="黑体" w:cs="黑体"/>
          <w:color w:val="auto"/>
          <w:sz w:val="30"/>
          <w:szCs w:val="30"/>
        </w:rPr>
      </w:pPr>
      <w:bookmarkStart w:id="71" w:name="_Toc11013"/>
      <w:bookmarkStart w:id="72" w:name="_Toc7997"/>
      <w:bookmarkStart w:id="73" w:name="_Toc19335_WPSOffice_Level1"/>
      <w:r>
        <w:rPr>
          <w:rFonts w:hint="eastAsia" w:ascii="黑体" w:hAnsi="黑体" w:eastAsia="黑体" w:cs="黑体"/>
          <w:color w:val="auto"/>
          <w:sz w:val="30"/>
          <w:szCs w:val="30"/>
        </w:rPr>
        <w:t>第8章　合同违约和赔偿</w:t>
      </w:r>
      <w:bookmarkEnd w:id="67"/>
      <w:bookmarkEnd w:id="68"/>
      <w:bookmarkEnd w:id="69"/>
      <w:bookmarkEnd w:id="70"/>
      <w:bookmarkEnd w:id="71"/>
      <w:bookmarkEnd w:id="72"/>
      <w:bookmarkEnd w:id="73"/>
    </w:p>
    <w:p>
      <w:pPr>
        <w:ind w:firstLine="641"/>
        <w:rPr>
          <w:rFonts w:asciiTheme="minorEastAsia" w:hAnsiTheme="minorEastAsia" w:cstheme="minorEastAsia"/>
          <w:color w:val="auto"/>
          <w:sz w:val="28"/>
          <w:szCs w:val="28"/>
        </w:rPr>
      </w:pPr>
      <w:bookmarkStart w:id="74" w:name="_Toc13696"/>
      <w:bookmarkStart w:id="75" w:name="_Toc8058"/>
      <w:bookmarkStart w:id="76" w:name="_Toc16465"/>
      <w:bookmarkStart w:id="77" w:name="_Toc11572"/>
      <w:r>
        <w:rPr>
          <w:rFonts w:hint="eastAsia" w:asciiTheme="minorEastAsia" w:hAnsiTheme="minorEastAsia" w:cstheme="minorEastAsia"/>
          <w:color w:val="auto"/>
          <w:sz w:val="28"/>
          <w:szCs w:val="28"/>
        </w:rPr>
        <w:t xml:space="preserve">8.1任一方违反本合同约定条款视为违约，合同另一方有权要求违约方赔偿违约造成的经济损失。                                  </w:t>
      </w:r>
    </w:p>
    <w:p>
      <w:pPr>
        <w:ind w:firstLine="641"/>
        <w:rPr>
          <w:rFonts w:asciiTheme="minorEastAsia" w:hAnsiTheme="minorEastAsia" w:cstheme="minorEastAsia"/>
          <w:color w:val="auto"/>
          <w:sz w:val="28"/>
          <w:szCs w:val="28"/>
        </w:rPr>
      </w:pPr>
      <w:r>
        <w:rPr>
          <w:rFonts w:hint="eastAsia" w:asciiTheme="minorEastAsia" w:hAnsiTheme="minorEastAsia" w:cstheme="minorEastAsia"/>
          <w:color w:val="auto"/>
          <w:sz w:val="28"/>
          <w:szCs w:val="28"/>
        </w:rPr>
        <w:t>8.2违约的处理原则</w:t>
      </w:r>
    </w:p>
    <w:p>
      <w:pPr>
        <w:ind w:firstLine="641"/>
        <w:rPr>
          <w:rFonts w:asciiTheme="minorEastAsia" w:hAnsiTheme="minorEastAsia" w:cstheme="minorEastAsia"/>
          <w:color w:val="auto"/>
          <w:sz w:val="28"/>
          <w:szCs w:val="28"/>
        </w:rPr>
      </w:pPr>
      <w:r>
        <w:rPr>
          <w:rFonts w:hint="eastAsia" w:asciiTheme="minorEastAsia" w:hAnsiTheme="minorEastAsia" w:cstheme="minorEastAsia"/>
          <w:color w:val="auto"/>
          <w:sz w:val="28"/>
          <w:szCs w:val="28"/>
        </w:rPr>
        <w:t>8.2.1违约行为发生后，除非守约方提出书面要求解除合同，否则违约方应继续履行合同。违约方应承担支付违约金、继续履行合同和采取补救措施等责任。在支付违约金、继续履约或者采取补救措施后，仍给守约方造成其他损失的，应当赔偿损失。</w:t>
      </w:r>
    </w:p>
    <w:p>
      <w:pPr>
        <w:ind w:firstLine="641"/>
        <w:rPr>
          <w:rFonts w:asciiTheme="minorEastAsia" w:hAnsiTheme="minorEastAsia" w:cstheme="minorEastAsia"/>
          <w:color w:val="auto"/>
          <w:sz w:val="28"/>
          <w:szCs w:val="28"/>
        </w:rPr>
      </w:pPr>
      <w:r>
        <w:rPr>
          <w:rFonts w:hint="eastAsia" w:asciiTheme="minorEastAsia" w:hAnsiTheme="minorEastAsia" w:cstheme="minorEastAsia"/>
          <w:color w:val="auto"/>
          <w:sz w:val="28"/>
          <w:szCs w:val="28"/>
        </w:rPr>
        <w:t xml:space="preserve">8.2.2在本合同履行期限届满之前，任一方明确表示或以自己的行为表明不履行合同义务的，另一方可在履行期限届满前解除合同并要求对方承担相应的违约责任，因不可抗力导致除外。                                               </w:t>
      </w:r>
    </w:p>
    <w:p>
      <w:pPr>
        <w:ind w:firstLine="641"/>
        <w:rPr>
          <w:rFonts w:asciiTheme="minorEastAsia" w:hAnsiTheme="minorEastAsia" w:cstheme="minorEastAsia"/>
          <w:color w:val="auto"/>
          <w:sz w:val="28"/>
          <w:szCs w:val="28"/>
        </w:rPr>
      </w:pPr>
      <w:r>
        <w:rPr>
          <w:rFonts w:hint="eastAsia" w:asciiTheme="minorEastAsia" w:hAnsiTheme="minorEastAsia" w:cstheme="minorEastAsia"/>
          <w:color w:val="auto"/>
          <w:sz w:val="28"/>
          <w:szCs w:val="28"/>
        </w:rPr>
        <w:t>8.2.3一方违约后，另一方应当采取适当的措施防止损失扩大，如果因没有采取适当的措施致使损失扩大的，则其不得就扩大的损失要求违约方承担赔偿责任。</w:t>
      </w:r>
    </w:p>
    <w:p>
      <w:pPr>
        <w:spacing w:line="360" w:lineRule="auto"/>
        <w:ind w:firstLine="560" w:firstLineChars="200"/>
        <w:jc w:val="left"/>
        <w:rPr>
          <w:rFonts w:asciiTheme="minorEastAsia" w:hAnsiTheme="minorEastAsia" w:cstheme="minorEastAsia"/>
          <w:color w:val="auto"/>
          <w:sz w:val="28"/>
          <w:szCs w:val="28"/>
        </w:rPr>
      </w:pPr>
      <w:r>
        <w:rPr>
          <w:rFonts w:hint="eastAsia" w:asciiTheme="minorEastAsia" w:hAnsiTheme="minorEastAsia" w:cstheme="minorEastAsia"/>
          <w:color w:val="auto"/>
          <w:sz w:val="28"/>
          <w:szCs w:val="28"/>
        </w:rPr>
        <w:t>8.3违约赔偿</w:t>
      </w:r>
    </w:p>
    <w:p>
      <w:pPr>
        <w:ind w:firstLine="564"/>
        <w:rPr>
          <w:rFonts w:ascii="宋体" w:hAnsi="宋体"/>
          <w:color w:val="auto"/>
          <w:sz w:val="28"/>
          <w:szCs w:val="28"/>
        </w:rPr>
      </w:pPr>
      <w:r>
        <w:rPr>
          <w:rFonts w:hint="eastAsia" w:ascii="宋体" w:hAnsi="宋体"/>
          <w:color w:val="auto"/>
          <w:sz w:val="28"/>
          <w:szCs w:val="28"/>
        </w:rPr>
        <w:t>8.3.1本合同签订后，因甲方原因导致本协议部分或全部不能履约时，甲方应向乙方支付违约金人民币</w:t>
      </w:r>
      <w:r>
        <w:rPr>
          <w:rFonts w:hint="eastAsia" w:ascii="宋体" w:hAnsi="宋体"/>
          <w:color w:val="auto"/>
          <w:sz w:val="28"/>
          <w:szCs w:val="28"/>
          <w:u w:val="single"/>
        </w:rPr>
        <w:t xml:space="preserve">    </w:t>
      </w:r>
      <w:r>
        <w:rPr>
          <w:rFonts w:hint="eastAsia" w:ascii="宋体" w:hAnsi="宋体"/>
          <w:color w:val="auto"/>
          <w:sz w:val="28"/>
          <w:szCs w:val="28"/>
        </w:rPr>
        <w:t>万元；因乙方原因导致本协议部分或全部不能履约时，乙方应向甲方支付违约金人民币</w:t>
      </w:r>
      <w:r>
        <w:rPr>
          <w:rFonts w:hint="eastAsia" w:ascii="宋体" w:hAnsi="宋体"/>
          <w:color w:val="auto"/>
          <w:sz w:val="28"/>
          <w:szCs w:val="28"/>
          <w:u w:val="single"/>
        </w:rPr>
        <w:t xml:space="preserve">    </w:t>
      </w:r>
      <w:r>
        <w:rPr>
          <w:rFonts w:hint="eastAsia" w:ascii="宋体" w:hAnsi="宋体"/>
          <w:color w:val="auto"/>
          <w:sz w:val="28"/>
          <w:szCs w:val="28"/>
        </w:rPr>
        <w:t>万元。</w:t>
      </w:r>
    </w:p>
    <w:p>
      <w:pPr>
        <w:ind w:firstLine="641"/>
        <w:rPr>
          <w:rFonts w:asciiTheme="minorEastAsia" w:hAnsiTheme="minorEastAsia" w:cstheme="minorEastAsia"/>
          <w:color w:val="auto"/>
          <w:sz w:val="28"/>
          <w:szCs w:val="28"/>
        </w:rPr>
      </w:pPr>
      <w:r>
        <w:rPr>
          <w:rFonts w:hint="eastAsia" w:asciiTheme="minorEastAsia" w:hAnsiTheme="minorEastAsia" w:cstheme="minorEastAsia"/>
          <w:color w:val="auto"/>
          <w:sz w:val="28"/>
          <w:szCs w:val="28"/>
        </w:rPr>
        <w:t>8.3.2如发生提交虚假信息、停产、变更、退市等行为，影响</w:t>
      </w:r>
      <w:r>
        <w:rPr>
          <w:rFonts w:hint="eastAsia" w:asciiTheme="minorEastAsia" w:hAnsiTheme="minorEastAsia" w:cstheme="minorEastAsia"/>
          <w:color w:val="auto"/>
          <w:sz w:val="28"/>
          <w:szCs w:val="28"/>
          <w:lang w:val="en-US" w:eastAsia="zh-CN"/>
        </w:rPr>
        <w:t>合同履行的</w:t>
      </w:r>
      <w:r>
        <w:rPr>
          <w:rFonts w:hint="eastAsia" w:asciiTheme="minorEastAsia" w:hAnsiTheme="minorEastAsia" w:cstheme="minorEastAsia"/>
          <w:color w:val="auto"/>
          <w:sz w:val="28"/>
          <w:szCs w:val="28"/>
        </w:rPr>
        <w:t>，违约方</w:t>
      </w:r>
      <w:r>
        <w:rPr>
          <w:rFonts w:hint="eastAsia" w:asciiTheme="minorEastAsia" w:hAnsiTheme="minorEastAsia" w:cstheme="minorEastAsia"/>
          <w:color w:val="auto"/>
          <w:sz w:val="28"/>
          <w:szCs w:val="28"/>
          <w:lang w:val="en-US" w:eastAsia="zh-CN"/>
        </w:rPr>
        <w:t>赔偿</w:t>
      </w:r>
      <w:r>
        <w:rPr>
          <w:rFonts w:hint="eastAsia" w:asciiTheme="minorEastAsia" w:hAnsiTheme="minorEastAsia" w:cstheme="minorEastAsia"/>
          <w:color w:val="auto"/>
          <w:sz w:val="28"/>
          <w:szCs w:val="28"/>
        </w:rPr>
        <w:t>守约方</w:t>
      </w:r>
      <w:r>
        <w:rPr>
          <w:rFonts w:hint="eastAsia" w:asciiTheme="minorEastAsia" w:hAnsiTheme="minorEastAsia" w:cstheme="minorEastAsia"/>
          <w:color w:val="auto"/>
          <w:sz w:val="28"/>
          <w:szCs w:val="28"/>
          <w:lang w:val="en-US" w:eastAsia="zh-CN"/>
        </w:rPr>
        <w:t>其行为</w:t>
      </w:r>
      <w:r>
        <w:rPr>
          <w:rFonts w:hint="eastAsia" w:asciiTheme="minorEastAsia" w:hAnsiTheme="minorEastAsia" w:cstheme="minorEastAsia"/>
          <w:color w:val="auto"/>
          <w:sz w:val="28"/>
          <w:szCs w:val="28"/>
        </w:rPr>
        <w:t>造成</w:t>
      </w:r>
      <w:r>
        <w:rPr>
          <w:rFonts w:hint="eastAsia" w:asciiTheme="minorEastAsia" w:hAnsiTheme="minorEastAsia" w:cstheme="minorEastAsia"/>
          <w:color w:val="auto"/>
          <w:sz w:val="28"/>
          <w:szCs w:val="28"/>
          <w:lang w:val="en-US" w:eastAsia="zh-CN"/>
        </w:rPr>
        <w:t>守约方</w:t>
      </w:r>
      <w:r>
        <w:rPr>
          <w:rFonts w:hint="eastAsia" w:asciiTheme="minorEastAsia" w:hAnsiTheme="minorEastAsia" w:cstheme="minorEastAsia"/>
          <w:color w:val="auto"/>
          <w:sz w:val="28"/>
          <w:szCs w:val="28"/>
        </w:rPr>
        <w:t>的一切直接及间接损失。</w:t>
      </w:r>
    </w:p>
    <w:p>
      <w:pPr>
        <w:ind w:firstLine="641"/>
        <w:rPr>
          <w:rFonts w:asciiTheme="minorEastAsia" w:hAnsiTheme="minorEastAsia" w:cstheme="minorEastAsia"/>
          <w:color w:val="auto"/>
          <w:sz w:val="28"/>
          <w:szCs w:val="28"/>
        </w:rPr>
      </w:pPr>
      <w:r>
        <w:rPr>
          <w:rFonts w:hint="eastAsia" w:asciiTheme="minorEastAsia" w:hAnsiTheme="minorEastAsia" w:cstheme="minorEastAsia"/>
          <w:color w:val="auto"/>
          <w:sz w:val="28"/>
          <w:szCs w:val="28"/>
        </w:rPr>
        <w:t>8.4除本合同其他各章约定以外，双方约定：</w:t>
      </w:r>
    </w:p>
    <w:p>
      <w:pPr>
        <w:ind w:firstLine="641"/>
        <w:rPr>
          <w:rFonts w:asciiTheme="minorEastAsia" w:hAnsiTheme="minorEastAsia" w:cstheme="minorEastAsia"/>
          <w:color w:val="auto"/>
          <w:sz w:val="28"/>
          <w:szCs w:val="28"/>
          <w:u w:val="single"/>
        </w:rPr>
      </w:pPr>
      <w:r>
        <w:rPr>
          <w:rFonts w:hint="eastAsia" w:asciiTheme="minorEastAsia" w:hAnsiTheme="minorEastAsia" w:cstheme="minorEastAsia"/>
          <w:color w:val="auto"/>
          <w:sz w:val="28"/>
          <w:szCs w:val="28"/>
        </w:rPr>
        <w:t>甲方应当承担的违约责任还包括：</w:t>
      </w:r>
      <w:r>
        <w:rPr>
          <w:rFonts w:hint="eastAsia" w:asciiTheme="minorEastAsia" w:hAnsiTheme="minorEastAsia" w:cstheme="minorEastAsia"/>
          <w:color w:val="auto"/>
          <w:sz w:val="28"/>
          <w:szCs w:val="28"/>
          <w:u w:val="single"/>
        </w:rPr>
        <w:t>　          　</w:t>
      </w:r>
      <w:r>
        <w:rPr>
          <w:rFonts w:hint="eastAsia" w:asciiTheme="minorEastAsia" w:hAnsiTheme="minorEastAsia" w:cstheme="minorEastAsia"/>
          <w:color w:val="auto"/>
          <w:sz w:val="28"/>
          <w:szCs w:val="28"/>
        </w:rPr>
        <w:t>。</w:t>
      </w:r>
    </w:p>
    <w:p>
      <w:pPr>
        <w:ind w:firstLine="641"/>
        <w:rPr>
          <w:rFonts w:asciiTheme="minorEastAsia" w:hAnsiTheme="minorEastAsia" w:cstheme="minorEastAsia"/>
          <w:color w:val="auto"/>
          <w:sz w:val="28"/>
          <w:szCs w:val="28"/>
        </w:rPr>
      </w:pPr>
      <w:r>
        <w:rPr>
          <w:rFonts w:hint="eastAsia" w:asciiTheme="minorEastAsia" w:hAnsiTheme="minorEastAsia" w:cstheme="minorEastAsia"/>
          <w:color w:val="auto"/>
          <w:sz w:val="28"/>
          <w:szCs w:val="28"/>
        </w:rPr>
        <w:t>乙方应当承担的违约责任还包括：</w:t>
      </w:r>
      <w:r>
        <w:rPr>
          <w:rFonts w:hint="eastAsia" w:asciiTheme="minorEastAsia" w:hAnsiTheme="minorEastAsia" w:cstheme="minorEastAsia"/>
          <w:color w:val="auto"/>
          <w:sz w:val="28"/>
          <w:szCs w:val="28"/>
          <w:u w:val="single"/>
        </w:rPr>
        <w:t>　          　</w:t>
      </w:r>
      <w:r>
        <w:rPr>
          <w:rFonts w:hint="eastAsia" w:asciiTheme="minorEastAsia" w:hAnsiTheme="minorEastAsia" w:cstheme="minorEastAsia"/>
          <w:color w:val="auto"/>
          <w:sz w:val="28"/>
          <w:szCs w:val="28"/>
        </w:rPr>
        <w:t>。</w:t>
      </w:r>
    </w:p>
    <w:p>
      <w:pPr>
        <w:ind w:firstLine="641"/>
        <w:rPr>
          <w:rFonts w:asciiTheme="minorEastAsia" w:hAnsiTheme="minorEastAsia" w:cstheme="minorEastAsia"/>
          <w:color w:val="auto"/>
          <w:sz w:val="28"/>
          <w:szCs w:val="28"/>
        </w:rPr>
      </w:pPr>
      <w:r>
        <w:rPr>
          <w:rFonts w:hint="eastAsia" w:asciiTheme="minorEastAsia" w:hAnsiTheme="minorEastAsia" w:cstheme="minorEastAsia"/>
          <w:color w:val="auto"/>
          <w:sz w:val="28"/>
          <w:szCs w:val="28"/>
        </w:rPr>
        <w:t>8.5除另有约定外，一旦发生任一方未能履行本合同项下的任何义务的情况，守约方可向违约方发出有关违约的书面通知，如果在通知发出后5个工作日内，违约方仍未纠正其违约的，应承担相应的违约责任。</w:t>
      </w:r>
    </w:p>
    <w:bookmarkEnd w:id="74"/>
    <w:bookmarkEnd w:id="75"/>
    <w:bookmarkEnd w:id="76"/>
    <w:bookmarkEnd w:id="77"/>
    <w:p>
      <w:pPr>
        <w:pStyle w:val="17"/>
        <w:spacing w:beforeLines="50" w:beforeAutospacing="0" w:afterLines="50" w:afterAutospacing="0"/>
        <w:ind w:left="0" w:leftChars="0"/>
        <w:jc w:val="center"/>
        <w:outlineLvl w:val="0"/>
        <w:rPr>
          <w:rFonts w:ascii="黑体" w:hAnsi="黑体" w:eastAsia="黑体" w:cs="黑体"/>
          <w:color w:val="auto"/>
          <w:sz w:val="30"/>
          <w:szCs w:val="30"/>
        </w:rPr>
      </w:pPr>
      <w:bookmarkStart w:id="78" w:name="_Toc5434"/>
      <w:bookmarkStart w:id="79" w:name="_Toc1141"/>
      <w:bookmarkStart w:id="80" w:name="_Toc12100"/>
      <w:bookmarkStart w:id="81" w:name="_Toc29021_WPSOffice_Level1"/>
      <w:bookmarkStart w:id="82" w:name="_Toc22786"/>
      <w:bookmarkStart w:id="83" w:name="_Toc23574"/>
      <w:bookmarkStart w:id="84" w:name="_Toc26569"/>
      <w:r>
        <w:rPr>
          <w:rFonts w:hint="eastAsia" w:ascii="黑体" w:hAnsi="黑体" w:eastAsia="黑体" w:cs="黑体"/>
          <w:color w:val="auto"/>
          <w:sz w:val="30"/>
          <w:szCs w:val="30"/>
        </w:rPr>
        <w:t>第9章　免责条款</w:t>
      </w:r>
      <w:bookmarkEnd w:id="78"/>
      <w:bookmarkEnd w:id="79"/>
      <w:bookmarkEnd w:id="80"/>
      <w:bookmarkEnd w:id="81"/>
      <w:bookmarkEnd w:id="82"/>
      <w:bookmarkEnd w:id="83"/>
      <w:bookmarkEnd w:id="84"/>
    </w:p>
    <w:p>
      <w:pPr>
        <w:ind w:firstLine="560" w:firstLineChars="200"/>
        <w:rPr>
          <w:rFonts w:asciiTheme="minorEastAsia" w:hAnsiTheme="minorEastAsia"/>
          <w:color w:val="auto"/>
          <w:sz w:val="28"/>
          <w:szCs w:val="28"/>
        </w:rPr>
      </w:pPr>
      <w:bookmarkStart w:id="85" w:name="_Toc667"/>
      <w:bookmarkStart w:id="86" w:name="_Toc4316"/>
      <w:bookmarkStart w:id="87" w:name="_Toc21253"/>
      <w:bookmarkStart w:id="88" w:name="_Toc9782"/>
      <w:r>
        <w:rPr>
          <w:rFonts w:hint="eastAsia" w:asciiTheme="minorEastAsia" w:hAnsiTheme="minorEastAsia"/>
          <w:color w:val="auto"/>
          <w:sz w:val="28"/>
          <w:szCs w:val="28"/>
        </w:rPr>
        <w:t>9.1若不可抗力的发生完全或部分地妨碍合同任一方履行本合同项下的任何义务，则该方可暂停履行其义务，但前提是：</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9.1.1暂停履行的范围和时间不超过消除不可抗力影响的合理需要；</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9.1.2受不可抗力影响的一方应继续履行本合同项下未受不可抗力影响的其他义务，包括所有到期付款的义务；</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9.1.3不可抗力因素消除后，该方应尽快恢复履行本合同。</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9.2若任一方因不可抗力而不能履行本合同，则该方应尽快书面通知对方。该通知书应说明不可抗力的发生日期和预计持续的时间、事件性质、对该方履行本合同的影响及该方为减少不可抗力影响所采取的措施。</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9.3受不可抗力影响一方应采取合理的措施，以减少因不可抗力给合同对方带来的损失。双方应及时协商制定并实施补救计划及合理的替代措施以减少或消除不可抗力的影响。如果受不可抗力影响的一方未能履行其应尽义务采取合理措施导致损失扩大，则该方应承担由此扩大造成的损失。</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9.4不可抗力造成的合同解除</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如果自不可抗力发生后 30 日内，双方不能就继续履行合同的条件或解除本合同达成一致意见，任一方有权书面通知对方解除本合同。</w:t>
      </w:r>
    </w:p>
    <w:p>
      <w:pPr>
        <w:pStyle w:val="17"/>
        <w:spacing w:beforeLines="50" w:beforeAutospacing="0" w:afterLines="50" w:afterAutospacing="0"/>
        <w:ind w:left="0" w:leftChars="0"/>
        <w:jc w:val="center"/>
        <w:outlineLvl w:val="0"/>
        <w:rPr>
          <w:rFonts w:ascii="黑体" w:hAnsi="黑体" w:eastAsia="黑体" w:cs="黑体"/>
          <w:color w:val="auto"/>
          <w:sz w:val="30"/>
          <w:szCs w:val="30"/>
        </w:rPr>
      </w:pPr>
      <w:bookmarkStart w:id="89" w:name="_Toc12912_WPSOffice_Level1"/>
      <w:bookmarkStart w:id="90" w:name="_Toc16822"/>
      <w:bookmarkStart w:id="91" w:name="_Toc31617"/>
      <w:r>
        <w:rPr>
          <w:rFonts w:hint="eastAsia" w:ascii="黑体" w:hAnsi="黑体" w:eastAsia="黑体" w:cs="黑体"/>
          <w:color w:val="auto"/>
          <w:sz w:val="30"/>
          <w:szCs w:val="30"/>
        </w:rPr>
        <w:t>第10章　争议的解决</w:t>
      </w:r>
      <w:bookmarkEnd w:id="85"/>
      <w:bookmarkEnd w:id="86"/>
      <w:bookmarkEnd w:id="87"/>
      <w:bookmarkEnd w:id="88"/>
      <w:bookmarkEnd w:id="89"/>
      <w:bookmarkEnd w:id="90"/>
      <w:bookmarkEnd w:id="91"/>
    </w:p>
    <w:p>
      <w:pPr>
        <w:ind w:firstLine="560" w:firstLineChars="200"/>
        <w:rPr>
          <w:rFonts w:asciiTheme="minorEastAsia" w:hAnsiTheme="minorEastAsia"/>
          <w:color w:val="auto"/>
          <w:sz w:val="28"/>
          <w:szCs w:val="28"/>
        </w:rPr>
      </w:pPr>
      <w:bookmarkStart w:id="92" w:name="_Toc26351"/>
      <w:bookmarkStart w:id="93" w:name="_Toc2641"/>
      <w:bookmarkStart w:id="94" w:name="_Toc28190"/>
      <w:bookmarkStart w:id="95" w:name="_Toc13698"/>
      <w:r>
        <w:rPr>
          <w:rFonts w:hint="eastAsia" w:asciiTheme="minorEastAsia" w:hAnsiTheme="minorEastAsia"/>
          <w:color w:val="auto"/>
          <w:sz w:val="28"/>
          <w:szCs w:val="28"/>
        </w:rPr>
        <w:t>10.1 凡因执行本合同所发生的与本合同有关的一切争议，双方应协商解决，也可提请电力监管机构和政府主管部门进行调解。协商或调解不成的，任一方依法提请</w:t>
      </w:r>
      <w:r>
        <w:rPr>
          <w:rFonts w:hint="eastAsia" w:asciiTheme="minorEastAsia" w:hAnsiTheme="minorEastAsia"/>
          <w:color w:val="auto"/>
          <w:sz w:val="28"/>
          <w:szCs w:val="28"/>
          <w:u w:val="single"/>
        </w:rPr>
        <w:t xml:space="preserve">        </w:t>
      </w:r>
      <w:r>
        <w:rPr>
          <w:rFonts w:hint="eastAsia" w:asciiTheme="minorEastAsia" w:hAnsiTheme="minorEastAsia"/>
          <w:color w:val="auto"/>
          <w:sz w:val="28"/>
          <w:szCs w:val="28"/>
        </w:rPr>
        <w:t>所在地有管辖权的人民法院通过诉讼程序解决。</w:t>
      </w:r>
    </w:p>
    <w:bookmarkEnd w:id="92"/>
    <w:bookmarkEnd w:id="93"/>
    <w:bookmarkEnd w:id="94"/>
    <w:bookmarkEnd w:id="95"/>
    <w:p>
      <w:pPr>
        <w:pStyle w:val="17"/>
        <w:spacing w:beforeLines="50" w:beforeAutospacing="0" w:afterLines="50" w:afterAutospacing="0"/>
        <w:ind w:left="0" w:leftChars="0"/>
        <w:jc w:val="center"/>
        <w:outlineLvl w:val="0"/>
        <w:rPr>
          <w:rFonts w:ascii="黑体" w:hAnsi="黑体" w:eastAsia="黑体" w:cs="黑体"/>
          <w:color w:val="auto"/>
          <w:sz w:val="30"/>
          <w:szCs w:val="30"/>
        </w:rPr>
      </w:pPr>
      <w:bookmarkStart w:id="96" w:name="_Toc22281"/>
      <w:bookmarkStart w:id="97" w:name="_Toc3981"/>
      <w:bookmarkStart w:id="98" w:name="_Toc7555"/>
      <w:bookmarkStart w:id="99" w:name="_Toc17584"/>
      <w:bookmarkStart w:id="100" w:name="_Toc1564"/>
      <w:bookmarkStart w:id="101" w:name="_Toc19189"/>
      <w:bookmarkStart w:id="102" w:name="_Toc11058_WPSOffice_Level1"/>
      <w:r>
        <w:rPr>
          <w:rFonts w:hint="eastAsia" w:ascii="黑体" w:hAnsi="黑体" w:eastAsia="黑体" w:cs="黑体"/>
          <w:color w:val="auto"/>
          <w:sz w:val="30"/>
          <w:szCs w:val="30"/>
        </w:rPr>
        <w:t>第11章　其他</w:t>
      </w:r>
      <w:bookmarkEnd w:id="96"/>
      <w:bookmarkEnd w:id="97"/>
      <w:bookmarkEnd w:id="98"/>
      <w:bookmarkEnd w:id="99"/>
      <w:bookmarkEnd w:id="100"/>
      <w:bookmarkEnd w:id="101"/>
      <w:bookmarkEnd w:id="102"/>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11.1保密</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双方不得以任何理由或目的将获悉的商业秘密和对方提供的资料文件提供给任何第三方。因任一方对相关资料管理原因造成对方保密信息泄露的，由其相关责任人承担相应责任，但按照法律、法规规定可做出披露的情况除外。</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11.2通知与送达</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任何与本合同有关的通知、文件和合规的账单等均应按照约定的联络信息以书面方式发送给对方。通过挂号信、快递或当面送交的，经收件方（即企业法人、企业负责人或授权代表）签字确认即被认为送达；若以传真、电子邮件、即时通讯软件等方式发出并被接收，即视为送达。所有通知、文件和合规的账单等均在送达或接收后方能生效。一切通知、账单、资料或文件等应按照约定的联络信息发给对方，直至一方书面通知另一方变更联络信息为止。</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11.3不放弃权利</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任一方放弃权利应当以书面声明的方式通知对方。任一方未及时行使其在本合同项下的权利，均不应被视为对上述任何权利的放弃。</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11.4本合同有关解除、诉求和保密的条款在本合同解除后仍然有效。本合同的订立、效力、解释、履行和争议的解决均适用中华人民共和国法律。</w:t>
      </w:r>
    </w:p>
    <w:p>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11.</w:t>
      </w:r>
      <w:r>
        <w:rPr>
          <w:rFonts w:hint="eastAsia" w:asciiTheme="minorEastAsia" w:hAnsiTheme="minorEastAsia"/>
          <w:color w:val="auto"/>
          <w:sz w:val="28"/>
          <w:szCs w:val="28"/>
          <w:lang w:val="en-US" w:eastAsia="zh-CN"/>
        </w:rPr>
        <w:t>5</w:t>
      </w:r>
      <w:r>
        <w:rPr>
          <w:rFonts w:hint="eastAsia" w:asciiTheme="minorEastAsia" w:hAnsiTheme="minorEastAsia"/>
          <w:color w:val="auto"/>
          <w:sz w:val="28"/>
          <w:szCs w:val="28"/>
        </w:rPr>
        <w:t>未尽事宜，由双方按照交易规则另行协商并签订补充协议，补充协议与本合同具有同等法律效力。</w:t>
      </w:r>
    </w:p>
    <w:p>
      <w:pPr>
        <w:rPr>
          <w:rFonts w:hint="eastAsia" w:asciiTheme="minorEastAsia" w:hAnsiTheme="minorEastAsia"/>
          <w:color w:val="auto"/>
          <w:sz w:val="28"/>
          <w:szCs w:val="28"/>
        </w:rPr>
      </w:pPr>
    </w:p>
    <w:p>
      <w:pPr>
        <w:rPr>
          <w:rFonts w:hint="eastAsia" w:asciiTheme="minorEastAsia" w:hAnsiTheme="minorEastAsia"/>
          <w:color w:val="auto"/>
          <w:sz w:val="28"/>
          <w:szCs w:val="28"/>
        </w:rPr>
      </w:pPr>
    </w:p>
    <w:p>
      <w:pPr>
        <w:rPr>
          <w:rFonts w:hint="eastAsia" w:asciiTheme="minorEastAsia" w:hAnsiTheme="minorEastAsia"/>
          <w:color w:val="auto"/>
          <w:sz w:val="28"/>
          <w:szCs w:val="28"/>
        </w:rPr>
      </w:pPr>
    </w:p>
    <w:p>
      <w:pPr>
        <w:rPr>
          <w:rFonts w:hint="eastAsia" w:asciiTheme="minorEastAsia" w:hAnsiTheme="minorEastAsia"/>
          <w:color w:val="auto"/>
          <w:sz w:val="28"/>
          <w:szCs w:val="28"/>
        </w:rPr>
      </w:pPr>
    </w:p>
    <w:p>
      <w:pPr>
        <w:rPr>
          <w:rFonts w:hint="eastAsia" w:asciiTheme="minorEastAsia" w:hAnsiTheme="minorEastAsia"/>
          <w:color w:val="auto"/>
          <w:sz w:val="28"/>
          <w:szCs w:val="28"/>
        </w:rPr>
      </w:pPr>
    </w:p>
    <w:p>
      <w:pPr>
        <w:rPr>
          <w:rFonts w:hint="eastAsia" w:asciiTheme="minorEastAsia" w:hAnsiTheme="minorEastAsia"/>
          <w:color w:val="auto"/>
          <w:sz w:val="28"/>
          <w:szCs w:val="28"/>
        </w:rPr>
      </w:pPr>
    </w:p>
    <w:p>
      <w:pPr>
        <w:rPr>
          <w:rFonts w:hint="eastAsia" w:asciiTheme="minorEastAsia" w:hAnsiTheme="minorEastAsia"/>
          <w:color w:val="auto"/>
          <w:sz w:val="28"/>
          <w:szCs w:val="28"/>
        </w:rPr>
      </w:pPr>
    </w:p>
    <w:p>
      <w:pPr>
        <w:rPr>
          <w:rFonts w:hint="eastAsia" w:asciiTheme="minorEastAsia" w:hAnsiTheme="minorEastAsia"/>
          <w:color w:val="auto"/>
          <w:sz w:val="28"/>
          <w:szCs w:val="28"/>
        </w:rPr>
      </w:pPr>
    </w:p>
    <w:p>
      <w:pPr>
        <w:rPr>
          <w:rFonts w:hint="eastAsia" w:asciiTheme="minorEastAsia" w:hAnsiTheme="minorEastAsia"/>
          <w:color w:val="auto"/>
          <w:sz w:val="28"/>
          <w:szCs w:val="28"/>
        </w:rPr>
      </w:pPr>
    </w:p>
    <w:p>
      <w:pPr>
        <w:rPr>
          <w:rFonts w:asciiTheme="minorEastAsia" w:hAnsiTheme="minorEastAsia"/>
          <w:color w:val="auto"/>
          <w:sz w:val="28"/>
          <w:szCs w:val="28"/>
        </w:rPr>
      </w:pPr>
      <w:r>
        <w:rPr>
          <w:rFonts w:hint="eastAsia" w:asciiTheme="minorEastAsia" w:hAnsiTheme="minorEastAsia"/>
          <w:color w:val="auto"/>
          <w:sz w:val="28"/>
          <w:szCs w:val="28"/>
        </w:rPr>
        <w:t>（此页无正文）</w:t>
      </w:r>
    </w:p>
    <w:p>
      <w:pPr>
        <w:pStyle w:val="8"/>
        <w:outlineLvl w:val="9"/>
        <w:rPr>
          <w:color w:val="auto"/>
        </w:rPr>
      </w:pPr>
    </w:p>
    <w:p>
      <w:pPr>
        <w:rPr>
          <w:color w:val="auto"/>
        </w:rPr>
      </w:pPr>
    </w:p>
    <w:p>
      <w:pPr>
        <w:pStyle w:val="2"/>
        <w:rPr>
          <w:color w:val="auto"/>
        </w:rPr>
      </w:pPr>
    </w:p>
    <w:p>
      <w:pPr>
        <w:pStyle w:val="2"/>
        <w:rPr>
          <w:color w:val="auto"/>
        </w:rPr>
      </w:pPr>
    </w:p>
    <w:p>
      <w:pPr>
        <w:pStyle w:val="2"/>
        <w:rPr>
          <w:color w:val="auto"/>
        </w:rPr>
      </w:pPr>
    </w:p>
    <w:p>
      <w:pPr>
        <w:rPr>
          <w:rFonts w:asciiTheme="minorEastAsia" w:hAnsiTheme="minorEastAsia"/>
          <w:color w:val="auto"/>
          <w:sz w:val="28"/>
          <w:szCs w:val="28"/>
          <w:u w:val="single"/>
        </w:rPr>
      </w:pPr>
      <w:r>
        <w:rPr>
          <w:rFonts w:hint="eastAsia" w:asciiTheme="minorEastAsia" w:hAnsiTheme="minorEastAsia"/>
          <w:color w:val="auto"/>
          <w:sz w:val="28"/>
          <w:szCs w:val="28"/>
        </w:rPr>
        <w:t>甲方</w:t>
      </w:r>
      <w:r>
        <w:rPr>
          <w:rFonts w:asciiTheme="minorEastAsia" w:hAnsiTheme="minorEastAsia"/>
          <w:color w:val="auto"/>
          <w:sz w:val="28"/>
          <w:szCs w:val="28"/>
        </w:rPr>
        <w:t>：</w:t>
      </w:r>
      <w:r>
        <w:rPr>
          <w:rFonts w:hint="eastAsia" w:asciiTheme="minorEastAsia" w:hAnsiTheme="minorEastAsia"/>
          <w:color w:val="auto"/>
          <w:sz w:val="28"/>
          <w:szCs w:val="28"/>
          <w:u w:val="single"/>
        </w:rPr>
        <w:t xml:space="preserve">                                         </w:t>
      </w:r>
    </w:p>
    <w:p>
      <w:pPr>
        <w:rPr>
          <w:rFonts w:asciiTheme="minorEastAsia" w:hAnsiTheme="minorEastAsia"/>
          <w:color w:val="auto"/>
          <w:sz w:val="28"/>
          <w:szCs w:val="28"/>
        </w:rPr>
      </w:pPr>
      <w:r>
        <w:rPr>
          <w:rFonts w:hint="eastAsia" w:asciiTheme="minorEastAsia" w:hAnsiTheme="minorEastAsia"/>
          <w:color w:val="auto"/>
          <w:sz w:val="28"/>
          <w:szCs w:val="28"/>
        </w:rPr>
        <w:t>盖章日期：</w:t>
      </w:r>
      <w:r>
        <w:rPr>
          <w:rFonts w:hint="eastAsia" w:asciiTheme="minorEastAsia" w:hAnsiTheme="minorEastAsia"/>
          <w:color w:val="auto"/>
          <w:sz w:val="28"/>
          <w:szCs w:val="28"/>
          <w:u w:val="single"/>
        </w:rPr>
        <w:t xml:space="preserve">    </w:t>
      </w:r>
      <w:r>
        <w:rPr>
          <w:rFonts w:hint="eastAsia" w:asciiTheme="minorEastAsia" w:hAnsiTheme="minorEastAsia"/>
          <w:color w:val="auto"/>
          <w:sz w:val="28"/>
          <w:szCs w:val="28"/>
        </w:rPr>
        <w:t>年</w:t>
      </w:r>
      <w:r>
        <w:rPr>
          <w:rFonts w:hint="eastAsia" w:asciiTheme="minorEastAsia" w:hAnsiTheme="minorEastAsia"/>
          <w:color w:val="auto"/>
          <w:sz w:val="28"/>
          <w:szCs w:val="28"/>
          <w:u w:val="single"/>
        </w:rPr>
        <w:t xml:space="preserve">   </w:t>
      </w:r>
      <w:r>
        <w:rPr>
          <w:rFonts w:hint="eastAsia" w:asciiTheme="minorEastAsia" w:hAnsiTheme="minorEastAsia"/>
          <w:color w:val="auto"/>
          <w:sz w:val="28"/>
          <w:szCs w:val="28"/>
        </w:rPr>
        <w:t>月</w:t>
      </w:r>
      <w:r>
        <w:rPr>
          <w:rFonts w:hint="eastAsia" w:asciiTheme="minorEastAsia" w:hAnsiTheme="minorEastAsia"/>
          <w:color w:val="auto"/>
          <w:sz w:val="28"/>
          <w:szCs w:val="28"/>
          <w:u w:val="single"/>
        </w:rPr>
        <w:t xml:space="preserve">   </w:t>
      </w:r>
      <w:r>
        <w:rPr>
          <w:rFonts w:hint="eastAsia" w:asciiTheme="minorEastAsia" w:hAnsiTheme="minorEastAsia"/>
          <w:color w:val="auto"/>
          <w:sz w:val="28"/>
          <w:szCs w:val="28"/>
        </w:rPr>
        <w:t>日</w:t>
      </w:r>
    </w:p>
    <w:p>
      <w:pPr>
        <w:rPr>
          <w:rFonts w:asciiTheme="minorEastAsia" w:hAnsiTheme="minorEastAsia"/>
          <w:color w:val="auto"/>
          <w:sz w:val="28"/>
          <w:szCs w:val="28"/>
        </w:rPr>
      </w:pPr>
    </w:p>
    <w:p>
      <w:pPr>
        <w:pStyle w:val="8"/>
        <w:outlineLvl w:val="9"/>
        <w:rPr>
          <w:color w:val="auto"/>
        </w:rPr>
      </w:pPr>
    </w:p>
    <w:p>
      <w:pPr>
        <w:rPr>
          <w:rFonts w:asciiTheme="minorEastAsia" w:hAnsiTheme="minorEastAsia"/>
          <w:color w:val="auto"/>
          <w:sz w:val="28"/>
          <w:szCs w:val="28"/>
        </w:rPr>
      </w:pPr>
      <w:r>
        <w:rPr>
          <w:rFonts w:hint="eastAsia" w:asciiTheme="minorEastAsia" w:hAnsiTheme="minorEastAsia"/>
          <w:color w:val="auto"/>
          <w:sz w:val="28"/>
          <w:szCs w:val="28"/>
        </w:rPr>
        <w:t>乙方</w:t>
      </w:r>
      <w:r>
        <w:rPr>
          <w:rFonts w:asciiTheme="minorEastAsia" w:hAnsiTheme="minorEastAsia"/>
          <w:color w:val="auto"/>
          <w:sz w:val="28"/>
          <w:szCs w:val="28"/>
        </w:rPr>
        <w:t>：</w:t>
      </w:r>
      <w:r>
        <w:rPr>
          <w:rFonts w:hint="eastAsia" w:asciiTheme="minorEastAsia" w:hAnsiTheme="minorEastAsia"/>
          <w:color w:val="auto"/>
          <w:sz w:val="28"/>
          <w:szCs w:val="28"/>
          <w:u w:val="single"/>
        </w:rPr>
        <w:t xml:space="preserve">                                        </w:t>
      </w:r>
    </w:p>
    <w:p>
      <w:pPr>
        <w:rPr>
          <w:rFonts w:asciiTheme="minorEastAsia" w:hAnsiTheme="minorEastAsia"/>
          <w:color w:val="auto"/>
          <w:sz w:val="28"/>
          <w:szCs w:val="28"/>
        </w:rPr>
      </w:pPr>
      <w:r>
        <w:rPr>
          <w:rFonts w:hint="eastAsia" w:asciiTheme="minorEastAsia" w:hAnsiTheme="minorEastAsia"/>
          <w:color w:val="auto"/>
          <w:sz w:val="28"/>
          <w:szCs w:val="28"/>
        </w:rPr>
        <w:t>盖章日期：</w:t>
      </w:r>
      <w:r>
        <w:rPr>
          <w:rFonts w:hint="eastAsia" w:asciiTheme="minorEastAsia" w:hAnsiTheme="minorEastAsia"/>
          <w:color w:val="auto"/>
          <w:sz w:val="28"/>
          <w:szCs w:val="28"/>
          <w:u w:val="single"/>
        </w:rPr>
        <w:t xml:space="preserve">    </w:t>
      </w:r>
      <w:r>
        <w:rPr>
          <w:rFonts w:hint="eastAsia" w:asciiTheme="minorEastAsia" w:hAnsiTheme="minorEastAsia"/>
          <w:color w:val="auto"/>
          <w:sz w:val="28"/>
          <w:szCs w:val="28"/>
        </w:rPr>
        <w:t>年</w:t>
      </w:r>
      <w:r>
        <w:rPr>
          <w:rFonts w:hint="eastAsia" w:asciiTheme="minorEastAsia" w:hAnsiTheme="minorEastAsia"/>
          <w:color w:val="auto"/>
          <w:sz w:val="28"/>
          <w:szCs w:val="28"/>
          <w:u w:val="single"/>
        </w:rPr>
        <w:t xml:space="preserve">   </w:t>
      </w:r>
      <w:r>
        <w:rPr>
          <w:rFonts w:hint="eastAsia" w:asciiTheme="minorEastAsia" w:hAnsiTheme="minorEastAsia"/>
          <w:color w:val="auto"/>
          <w:sz w:val="28"/>
          <w:szCs w:val="28"/>
        </w:rPr>
        <w:t>月</w:t>
      </w:r>
      <w:r>
        <w:rPr>
          <w:rFonts w:hint="eastAsia" w:asciiTheme="minorEastAsia" w:hAnsiTheme="minorEastAsia"/>
          <w:color w:val="auto"/>
          <w:sz w:val="28"/>
          <w:szCs w:val="28"/>
          <w:u w:val="single"/>
        </w:rPr>
        <w:t xml:space="preserve">   </w:t>
      </w:r>
      <w:r>
        <w:rPr>
          <w:rFonts w:hint="eastAsia" w:asciiTheme="minorEastAsia" w:hAnsiTheme="minorEastAsia"/>
          <w:color w:val="auto"/>
          <w:sz w:val="28"/>
          <w:szCs w:val="28"/>
        </w:rPr>
        <w:t>日</w:t>
      </w:r>
    </w:p>
    <w:p>
      <w:pPr>
        <w:rPr>
          <w:color w:val="auto"/>
        </w:rPr>
      </w:pPr>
    </w:p>
    <w:p>
      <w:pPr>
        <w:rPr>
          <w:rFonts w:asciiTheme="minorEastAsia" w:hAnsiTheme="minorEastAsia"/>
          <w:color w:val="auto"/>
          <w:sz w:val="28"/>
          <w:szCs w:val="28"/>
        </w:rPr>
      </w:pPr>
    </w:p>
    <w:p>
      <w:pPr>
        <w:rPr>
          <w:rFonts w:asciiTheme="minorEastAsia" w:hAnsiTheme="minorEastAsia"/>
          <w:color w:val="auto"/>
          <w:sz w:val="28"/>
          <w:szCs w:val="28"/>
        </w:rPr>
      </w:pPr>
    </w:p>
    <w:p>
      <w:pPr>
        <w:rPr>
          <w:rFonts w:asciiTheme="minorEastAsia" w:hAnsiTheme="minorEastAsia"/>
          <w:color w:val="auto"/>
          <w:sz w:val="28"/>
          <w:szCs w:val="28"/>
        </w:rPr>
      </w:pPr>
      <w:r>
        <w:rPr>
          <w:rFonts w:hint="eastAsia" w:asciiTheme="minorEastAsia" w:hAnsiTheme="minorEastAsia"/>
          <w:color w:val="auto"/>
          <w:sz w:val="28"/>
          <w:szCs w:val="28"/>
        </w:rPr>
        <w:t>签订地点：</w:t>
      </w:r>
      <w:r>
        <w:rPr>
          <w:rFonts w:hint="eastAsia" w:asciiTheme="minorEastAsia" w:hAnsiTheme="minorEastAsia"/>
          <w:color w:val="auto"/>
          <w:sz w:val="28"/>
          <w:szCs w:val="28"/>
          <w:u w:val="single"/>
        </w:rPr>
        <w:t xml:space="preserve">    南宁市民主路7号             </w:t>
      </w:r>
    </w:p>
    <w:sectPr>
      <w:footerReference r:id="rId5" w:type="default"/>
      <w:pgSz w:w="11906" w:h="16838"/>
      <w:pgMar w:top="1440" w:right="1886" w:bottom="1440" w:left="14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FZFSK--GBK1-0">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mesNewRomanPSMT">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path/>
          <v:fill on="f" focussize="0,0"/>
          <v:stroke on="f" weight="0.5pt" joinstyle="miter"/>
          <v:imagedata o:title=""/>
          <o:lock v:ext="edit"/>
          <v:textbox inset="0mm,0mm,0mm,0mm" style="mso-fit-shape-to-text:t;">
            <w:txbxContent>
              <w:p>
                <w:pPr>
                  <w:pStyle w:val="10"/>
                </w:pPr>
                <w:r>
                  <w:rPr>
                    <w:rFonts w:hint="eastAsia"/>
                  </w:rPr>
                  <w:fldChar w:fldCharType="begin"/>
                </w:r>
                <w:r>
                  <w:rPr>
                    <w:rFonts w:hint="eastAsia"/>
                  </w:rPr>
                  <w:instrText xml:space="preserve"> PAGE  \* MERGEFORMAT </w:instrText>
                </w:r>
                <w:r>
                  <w:rPr>
                    <w:rFonts w:hint="eastAsia"/>
                  </w:rPr>
                  <w:fldChar w:fldCharType="separate"/>
                </w:r>
                <w:r>
                  <w:t>19</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901CFB"/>
    <w:multiLevelType w:val="multilevel"/>
    <w:tmpl w:val="4E901CFB"/>
    <w:lvl w:ilvl="0" w:tentative="0">
      <w:start w:val="1"/>
      <w:numFmt w:val="chineseCountingThousand"/>
      <w:isLgl/>
      <w:suff w:val="space"/>
      <w:lvlText w:val="%1 "/>
      <w:lvlJc w:val="left"/>
      <w:pPr>
        <w:ind w:left="360" w:firstLine="0"/>
      </w:pPr>
      <w:rPr>
        <w:rFonts w:hint="eastAsia"/>
        <w:sz w:val="24"/>
        <w:szCs w:val="24"/>
      </w:rPr>
    </w:lvl>
    <w:lvl w:ilvl="1" w:tentative="0">
      <w:start w:val="1"/>
      <w:numFmt w:val="chineseCountingThousand"/>
      <w:pStyle w:val="20"/>
      <w:isLgl/>
      <w:suff w:val="space"/>
      <w:lvlText w:val="%1.%2 "/>
      <w:lvlJc w:val="left"/>
      <w:pPr>
        <w:ind w:left="360" w:firstLine="0"/>
      </w:pPr>
      <w:rPr>
        <w:rFonts w:hint="eastAsia" w:ascii="宋体" w:eastAsia="宋体"/>
        <w:b/>
        <w:sz w:val="24"/>
        <w:szCs w:val="24"/>
      </w:rPr>
    </w:lvl>
    <w:lvl w:ilvl="2" w:tentative="0">
      <w:start w:val="1"/>
      <w:numFmt w:val="decimal"/>
      <w:isLgl/>
      <w:suff w:val="space"/>
      <w:lvlText w:val="%1.%2.%3 "/>
      <w:lvlJc w:val="left"/>
      <w:pPr>
        <w:ind w:left="4320" w:firstLine="0"/>
      </w:pPr>
      <w:rPr>
        <w:rFonts w:hint="eastAsia"/>
        <w:b/>
        <w:color w:val="auto"/>
      </w:rPr>
    </w:lvl>
    <w:lvl w:ilvl="3" w:tentative="0">
      <w:start w:val="1"/>
      <w:numFmt w:val="decimal"/>
      <w:isLgl/>
      <w:suff w:val="space"/>
      <w:lvlText w:val="%1.%2.%3.%4"/>
      <w:lvlJc w:val="left"/>
      <w:pPr>
        <w:ind w:left="400" w:firstLine="0"/>
      </w:pPr>
      <w:rPr>
        <w:rFonts w:hint="default" w:hAnsi="Times New Roman"/>
      </w:rPr>
    </w:lvl>
    <w:lvl w:ilvl="4" w:tentative="0">
      <w:start w:val="1"/>
      <w:numFmt w:val="decimal"/>
      <w:isLgl/>
      <w:suff w:val="space"/>
      <w:lvlText w:val="%1.%2.%3.%4.%5."/>
      <w:lvlJc w:val="left"/>
      <w:pPr>
        <w:ind w:left="1860" w:firstLine="0"/>
      </w:pPr>
      <w:rPr>
        <w:rFonts w:hint="eastAsia"/>
      </w:rPr>
    </w:lvl>
    <w:lvl w:ilvl="5" w:tentative="0">
      <w:start w:val="1"/>
      <w:numFmt w:val="decimal"/>
      <w:lvlText w:val="%1.%2.%3.%4.%5.%6."/>
      <w:lvlJc w:val="left"/>
      <w:pPr>
        <w:tabs>
          <w:tab w:val="left" w:pos="2994"/>
        </w:tabs>
        <w:ind w:left="2994" w:hanging="1134"/>
      </w:pPr>
      <w:rPr>
        <w:rFonts w:hint="eastAsia"/>
      </w:rPr>
    </w:lvl>
    <w:lvl w:ilvl="6" w:tentative="0">
      <w:start w:val="1"/>
      <w:numFmt w:val="decimal"/>
      <w:lvlText w:val="%1.%2.%3.%4.%5.%6.%7."/>
      <w:lvlJc w:val="left"/>
      <w:pPr>
        <w:tabs>
          <w:tab w:val="left" w:pos="3136"/>
        </w:tabs>
        <w:ind w:left="3136" w:hanging="1276"/>
      </w:pPr>
      <w:rPr>
        <w:rFonts w:hint="eastAsia"/>
      </w:rPr>
    </w:lvl>
    <w:lvl w:ilvl="7" w:tentative="0">
      <w:start w:val="1"/>
      <w:numFmt w:val="decimal"/>
      <w:lvlText w:val="%1.%2.%3.%4.%5.%6.%7.%8."/>
      <w:lvlJc w:val="left"/>
      <w:pPr>
        <w:tabs>
          <w:tab w:val="left" w:pos="3278"/>
        </w:tabs>
        <w:ind w:left="3278" w:hanging="1418"/>
      </w:pPr>
      <w:rPr>
        <w:rFonts w:hint="eastAsia"/>
      </w:rPr>
    </w:lvl>
    <w:lvl w:ilvl="8" w:tentative="0">
      <w:start w:val="1"/>
      <w:numFmt w:val="decimal"/>
      <w:lvlText w:val="%1.%2.%3.%4.%5.%6.%7.%8.%9."/>
      <w:lvlJc w:val="left"/>
      <w:pPr>
        <w:tabs>
          <w:tab w:val="left" w:pos="3419"/>
        </w:tabs>
        <w:ind w:left="341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trackRevisions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jEzODliOWQ5MGIxM2MwYWMwYTc0Njk2OWVkODQ3NDEifQ=="/>
  </w:docVars>
  <w:rsids>
    <w:rsidRoot w:val="7FFB700B"/>
    <w:rsid w:val="00023657"/>
    <w:rsid w:val="001652FC"/>
    <w:rsid w:val="00165DD2"/>
    <w:rsid w:val="001D25DF"/>
    <w:rsid w:val="00244D7C"/>
    <w:rsid w:val="00364DB4"/>
    <w:rsid w:val="004B0C87"/>
    <w:rsid w:val="004D1BCF"/>
    <w:rsid w:val="006345C3"/>
    <w:rsid w:val="00656FD8"/>
    <w:rsid w:val="006B090E"/>
    <w:rsid w:val="006D1284"/>
    <w:rsid w:val="00896082"/>
    <w:rsid w:val="008A2DE7"/>
    <w:rsid w:val="008D05F3"/>
    <w:rsid w:val="00952454"/>
    <w:rsid w:val="00A86253"/>
    <w:rsid w:val="00A94CD8"/>
    <w:rsid w:val="00BB631F"/>
    <w:rsid w:val="00CF4CF6"/>
    <w:rsid w:val="00DA7555"/>
    <w:rsid w:val="00E62081"/>
    <w:rsid w:val="00E75DA8"/>
    <w:rsid w:val="00EF4199"/>
    <w:rsid w:val="00F07565"/>
    <w:rsid w:val="00F531B5"/>
    <w:rsid w:val="00FA12E6"/>
    <w:rsid w:val="00FF435C"/>
    <w:rsid w:val="010B19F5"/>
    <w:rsid w:val="011B085E"/>
    <w:rsid w:val="011D15D1"/>
    <w:rsid w:val="01226DBA"/>
    <w:rsid w:val="013735EA"/>
    <w:rsid w:val="01491A8F"/>
    <w:rsid w:val="01554304"/>
    <w:rsid w:val="015815E5"/>
    <w:rsid w:val="015B457D"/>
    <w:rsid w:val="01666284"/>
    <w:rsid w:val="01834AB2"/>
    <w:rsid w:val="01881EAF"/>
    <w:rsid w:val="019C01AC"/>
    <w:rsid w:val="01AA4C03"/>
    <w:rsid w:val="01B122C8"/>
    <w:rsid w:val="01B36075"/>
    <w:rsid w:val="01B776E8"/>
    <w:rsid w:val="01D43E48"/>
    <w:rsid w:val="01D554AF"/>
    <w:rsid w:val="01EF7F52"/>
    <w:rsid w:val="02102660"/>
    <w:rsid w:val="023A3577"/>
    <w:rsid w:val="023E7A87"/>
    <w:rsid w:val="02456C4E"/>
    <w:rsid w:val="024F01A5"/>
    <w:rsid w:val="02506CAB"/>
    <w:rsid w:val="025D0374"/>
    <w:rsid w:val="0263185B"/>
    <w:rsid w:val="02650CC1"/>
    <w:rsid w:val="0268127C"/>
    <w:rsid w:val="027A2269"/>
    <w:rsid w:val="027A4230"/>
    <w:rsid w:val="029B26ED"/>
    <w:rsid w:val="029C3A35"/>
    <w:rsid w:val="02A503B7"/>
    <w:rsid w:val="02A66B07"/>
    <w:rsid w:val="02A73C7F"/>
    <w:rsid w:val="02B717D1"/>
    <w:rsid w:val="02BE4AC0"/>
    <w:rsid w:val="02C14834"/>
    <w:rsid w:val="02C408F2"/>
    <w:rsid w:val="02EB303C"/>
    <w:rsid w:val="02FA5FF4"/>
    <w:rsid w:val="030F1431"/>
    <w:rsid w:val="031A1212"/>
    <w:rsid w:val="032405A5"/>
    <w:rsid w:val="033012E9"/>
    <w:rsid w:val="03333DF6"/>
    <w:rsid w:val="033929D0"/>
    <w:rsid w:val="033E7275"/>
    <w:rsid w:val="03467B47"/>
    <w:rsid w:val="035053C3"/>
    <w:rsid w:val="03565B4E"/>
    <w:rsid w:val="03682300"/>
    <w:rsid w:val="03711E65"/>
    <w:rsid w:val="03832252"/>
    <w:rsid w:val="03994F54"/>
    <w:rsid w:val="039B3399"/>
    <w:rsid w:val="03AB5F37"/>
    <w:rsid w:val="03AC252F"/>
    <w:rsid w:val="03B510C4"/>
    <w:rsid w:val="03C1444A"/>
    <w:rsid w:val="03C57932"/>
    <w:rsid w:val="03CE71A1"/>
    <w:rsid w:val="03E127B3"/>
    <w:rsid w:val="041228E2"/>
    <w:rsid w:val="043232F0"/>
    <w:rsid w:val="044C4156"/>
    <w:rsid w:val="04621013"/>
    <w:rsid w:val="047D17F3"/>
    <w:rsid w:val="04947A89"/>
    <w:rsid w:val="04A63C9C"/>
    <w:rsid w:val="04AA5D7E"/>
    <w:rsid w:val="04AA6B4F"/>
    <w:rsid w:val="04AD21C6"/>
    <w:rsid w:val="04BE7DFC"/>
    <w:rsid w:val="04C27F24"/>
    <w:rsid w:val="04C85C60"/>
    <w:rsid w:val="04D15DA0"/>
    <w:rsid w:val="04D30338"/>
    <w:rsid w:val="04D4067A"/>
    <w:rsid w:val="05005A73"/>
    <w:rsid w:val="051C52AC"/>
    <w:rsid w:val="052E1CF9"/>
    <w:rsid w:val="052F4C2A"/>
    <w:rsid w:val="055528B6"/>
    <w:rsid w:val="057C0436"/>
    <w:rsid w:val="05891179"/>
    <w:rsid w:val="059D255F"/>
    <w:rsid w:val="05AF111D"/>
    <w:rsid w:val="05AF206F"/>
    <w:rsid w:val="05C54B45"/>
    <w:rsid w:val="05E6204E"/>
    <w:rsid w:val="06021796"/>
    <w:rsid w:val="06133D91"/>
    <w:rsid w:val="062F10DE"/>
    <w:rsid w:val="06353DE4"/>
    <w:rsid w:val="065F4AE8"/>
    <w:rsid w:val="067C6D2E"/>
    <w:rsid w:val="067F5B86"/>
    <w:rsid w:val="06846E9F"/>
    <w:rsid w:val="069B5D60"/>
    <w:rsid w:val="06BA0007"/>
    <w:rsid w:val="06C57131"/>
    <w:rsid w:val="06FA1DD9"/>
    <w:rsid w:val="07070DFE"/>
    <w:rsid w:val="07170981"/>
    <w:rsid w:val="07241EEA"/>
    <w:rsid w:val="07364153"/>
    <w:rsid w:val="074C3FF3"/>
    <w:rsid w:val="07535F42"/>
    <w:rsid w:val="075D37BA"/>
    <w:rsid w:val="075E6AC1"/>
    <w:rsid w:val="07831DD9"/>
    <w:rsid w:val="078A3FC0"/>
    <w:rsid w:val="07AB0835"/>
    <w:rsid w:val="07C338DC"/>
    <w:rsid w:val="07C73D05"/>
    <w:rsid w:val="07CC54E8"/>
    <w:rsid w:val="07D14DFC"/>
    <w:rsid w:val="07F3455F"/>
    <w:rsid w:val="08085AAF"/>
    <w:rsid w:val="081264B3"/>
    <w:rsid w:val="082C2EA3"/>
    <w:rsid w:val="082C47B7"/>
    <w:rsid w:val="08330D55"/>
    <w:rsid w:val="08336053"/>
    <w:rsid w:val="08366058"/>
    <w:rsid w:val="083800E4"/>
    <w:rsid w:val="08444B72"/>
    <w:rsid w:val="084F6DA9"/>
    <w:rsid w:val="085E143B"/>
    <w:rsid w:val="08810CBD"/>
    <w:rsid w:val="088825C7"/>
    <w:rsid w:val="088E3104"/>
    <w:rsid w:val="08AB6DC6"/>
    <w:rsid w:val="08C172A1"/>
    <w:rsid w:val="08C21DEA"/>
    <w:rsid w:val="08D13A42"/>
    <w:rsid w:val="08D22C9F"/>
    <w:rsid w:val="08D614D3"/>
    <w:rsid w:val="08D878A8"/>
    <w:rsid w:val="08F118A1"/>
    <w:rsid w:val="08F2478E"/>
    <w:rsid w:val="08F80176"/>
    <w:rsid w:val="09070505"/>
    <w:rsid w:val="0910305F"/>
    <w:rsid w:val="09167249"/>
    <w:rsid w:val="091F19A7"/>
    <w:rsid w:val="092257E2"/>
    <w:rsid w:val="092B426E"/>
    <w:rsid w:val="09383AF4"/>
    <w:rsid w:val="09541C79"/>
    <w:rsid w:val="096D20BD"/>
    <w:rsid w:val="09AD2AEA"/>
    <w:rsid w:val="09C7739E"/>
    <w:rsid w:val="09CE2A0C"/>
    <w:rsid w:val="09E702CF"/>
    <w:rsid w:val="09F4715C"/>
    <w:rsid w:val="0A11503B"/>
    <w:rsid w:val="0A12519E"/>
    <w:rsid w:val="0A1667D6"/>
    <w:rsid w:val="0A221C1E"/>
    <w:rsid w:val="0A2A66F1"/>
    <w:rsid w:val="0A310171"/>
    <w:rsid w:val="0A555FA2"/>
    <w:rsid w:val="0A6C4144"/>
    <w:rsid w:val="0A7B5229"/>
    <w:rsid w:val="0A8A5680"/>
    <w:rsid w:val="0ACD4076"/>
    <w:rsid w:val="0ADB61D1"/>
    <w:rsid w:val="0AE012DD"/>
    <w:rsid w:val="0AE128E6"/>
    <w:rsid w:val="0AFE3895"/>
    <w:rsid w:val="0B281EA9"/>
    <w:rsid w:val="0B2D781A"/>
    <w:rsid w:val="0B4C389E"/>
    <w:rsid w:val="0B5B4924"/>
    <w:rsid w:val="0B63691A"/>
    <w:rsid w:val="0B7044C6"/>
    <w:rsid w:val="0B733911"/>
    <w:rsid w:val="0B921F58"/>
    <w:rsid w:val="0B9422AF"/>
    <w:rsid w:val="0B9F4E01"/>
    <w:rsid w:val="0BA3367E"/>
    <w:rsid w:val="0BAA73E9"/>
    <w:rsid w:val="0BC05450"/>
    <w:rsid w:val="0BD25976"/>
    <w:rsid w:val="0BD936A4"/>
    <w:rsid w:val="0BE77B35"/>
    <w:rsid w:val="0BF9435E"/>
    <w:rsid w:val="0C2E7D93"/>
    <w:rsid w:val="0C321AE4"/>
    <w:rsid w:val="0C3E60FD"/>
    <w:rsid w:val="0C4065A7"/>
    <w:rsid w:val="0C455032"/>
    <w:rsid w:val="0C524436"/>
    <w:rsid w:val="0C5A48F3"/>
    <w:rsid w:val="0C680EDB"/>
    <w:rsid w:val="0C96361E"/>
    <w:rsid w:val="0C9733F6"/>
    <w:rsid w:val="0C9F71C3"/>
    <w:rsid w:val="0CA3291B"/>
    <w:rsid w:val="0CA63F7A"/>
    <w:rsid w:val="0CAE00F3"/>
    <w:rsid w:val="0CB665A9"/>
    <w:rsid w:val="0CE475F0"/>
    <w:rsid w:val="0CEC7356"/>
    <w:rsid w:val="0D046DE2"/>
    <w:rsid w:val="0D2C7959"/>
    <w:rsid w:val="0D32172A"/>
    <w:rsid w:val="0D4337A7"/>
    <w:rsid w:val="0D460EE5"/>
    <w:rsid w:val="0D4D02CD"/>
    <w:rsid w:val="0D696E5E"/>
    <w:rsid w:val="0D6A288E"/>
    <w:rsid w:val="0D863BD9"/>
    <w:rsid w:val="0D900A0D"/>
    <w:rsid w:val="0DB352DE"/>
    <w:rsid w:val="0DCD491E"/>
    <w:rsid w:val="0DD4615C"/>
    <w:rsid w:val="0DEB5323"/>
    <w:rsid w:val="0E0B17C2"/>
    <w:rsid w:val="0E114995"/>
    <w:rsid w:val="0E23110B"/>
    <w:rsid w:val="0E242E3F"/>
    <w:rsid w:val="0E244039"/>
    <w:rsid w:val="0E4E333C"/>
    <w:rsid w:val="0E5077AB"/>
    <w:rsid w:val="0E5140E4"/>
    <w:rsid w:val="0E6255D4"/>
    <w:rsid w:val="0E6F53D4"/>
    <w:rsid w:val="0E934BAC"/>
    <w:rsid w:val="0F3A6D03"/>
    <w:rsid w:val="0F566EC7"/>
    <w:rsid w:val="0F5D0AE8"/>
    <w:rsid w:val="0F8009B1"/>
    <w:rsid w:val="0FA95AED"/>
    <w:rsid w:val="0FAE0E8F"/>
    <w:rsid w:val="0FC82CBD"/>
    <w:rsid w:val="0FCB69D6"/>
    <w:rsid w:val="0FFD3F09"/>
    <w:rsid w:val="10185649"/>
    <w:rsid w:val="10322F8F"/>
    <w:rsid w:val="10350F63"/>
    <w:rsid w:val="10444D54"/>
    <w:rsid w:val="107567EC"/>
    <w:rsid w:val="10765221"/>
    <w:rsid w:val="107B5500"/>
    <w:rsid w:val="109C65C9"/>
    <w:rsid w:val="109F468C"/>
    <w:rsid w:val="10A249F0"/>
    <w:rsid w:val="10AE2826"/>
    <w:rsid w:val="10B80021"/>
    <w:rsid w:val="10D17921"/>
    <w:rsid w:val="10F14C2C"/>
    <w:rsid w:val="11161B31"/>
    <w:rsid w:val="11180E23"/>
    <w:rsid w:val="112E4CF4"/>
    <w:rsid w:val="115C536E"/>
    <w:rsid w:val="11662A26"/>
    <w:rsid w:val="116D2C7E"/>
    <w:rsid w:val="11714E0B"/>
    <w:rsid w:val="1183274C"/>
    <w:rsid w:val="119504D4"/>
    <w:rsid w:val="11BD63AA"/>
    <w:rsid w:val="11C11A17"/>
    <w:rsid w:val="11EB36CF"/>
    <w:rsid w:val="12134840"/>
    <w:rsid w:val="122522D0"/>
    <w:rsid w:val="122925A2"/>
    <w:rsid w:val="1230601B"/>
    <w:rsid w:val="123B721C"/>
    <w:rsid w:val="125053C2"/>
    <w:rsid w:val="126E7974"/>
    <w:rsid w:val="128B3360"/>
    <w:rsid w:val="12B2684F"/>
    <w:rsid w:val="12B80480"/>
    <w:rsid w:val="12FF6030"/>
    <w:rsid w:val="1303148E"/>
    <w:rsid w:val="13061CB5"/>
    <w:rsid w:val="130D3F71"/>
    <w:rsid w:val="132872A5"/>
    <w:rsid w:val="134B5919"/>
    <w:rsid w:val="136F6E2F"/>
    <w:rsid w:val="13722489"/>
    <w:rsid w:val="137345C8"/>
    <w:rsid w:val="13776E6F"/>
    <w:rsid w:val="137F267C"/>
    <w:rsid w:val="137F2F31"/>
    <w:rsid w:val="13993916"/>
    <w:rsid w:val="13A11449"/>
    <w:rsid w:val="13C45D79"/>
    <w:rsid w:val="13C66152"/>
    <w:rsid w:val="13D7245C"/>
    <w:rsid w:val="13DD20E0"/>
    <w:rsid w:val="13EB46A1"/>
    <w:rsid w:val="142F5FED"/>
    <w:rsid w:val="143A1B13"/>
    <w:rsid w:val="144426D8"/>
    <w:rsid w:val="144E14D2"/>
    <w:rsid w:val="1452462D"/>
    <w:rsid w:val="145266F2"/>
    <w:rsid w:val="145860D9"/>
    <w:rsid w:val="14640AF3"/>
    <w:rsid w:val="146E4844"/>
    <w:rsid w:val="14703881"/>
    <w:rsid w:val="1489120D"/>
    <w:rsid w:val="148B3A0D"/>
    <w:rsid w:val="148E2EEE"/>
    <w:rsid w:val="14A84098"/>
    <w:rsid w:val="14A939BE"/>
    <w:rsid w:val="14AB1454"/>
    <w:rsid w:val="14AB3475"/>
    <w:rsid w:val="14B6013A"/>
    <w:rsid w:val="14BF249B"/>
    <w:rsid w:val="14D508F5"/>
    <w:rsid w:val="14E37FD2"/>
    <w:rsid w:val="14E50AEE"/>
    <w:rsid w:val="15050F71"/>
    <w:rsid w:val="151C59E8"/>
    <w:rsid w:val="152938CC"/>
    <w:rsid w:val="152D71B1"/>
    <w:rsid w:val="1535459E"/>
    <w:rsid w:val="15423390"/>
    <w:rsid w:val="154607AD"/>
    <w:rsid w:val="1556299D"/>
    <w:rsid w:val="15574E2D"/>
    <w:rsid w:val="15604CB9"/>
    <w:rsid w:val="1565768F"/>
    <w:rsid w:val="15680355"/>
    <w:rsid w:val="156A28AB"/>
    <w:rsid w:val="15831931"/>
    <w:rsid w:val="1587492B"/>
    <w:rsid w:val="158815AC"/>
    <w:rsid w:val="15AC12CB"/>
    <w:rsid w:val="15CC09FC"/>
    <w:rsid w:val="15D27851"/>
    <w:rsid w:val="15D80095"/>
    <w:rsid w:val="15D87E62"/>
    <w:rsid w:val="15EE6D83"/>
    <w:rsid w:val="16005751"/>
    <w:rsid w:val="160A4AF0"/>
    <w:rsid w:val="160C6E1F"/>
    <w:rsid w:val="160F149C"/>
    <w:rsid w:val="162418DF"/>
    <w:rsid w:val="16384A3D"/>
    <w:rsid w:val="16385274"/>
    <w:rsid w:val="163D674E"/>
    <w:rsid w:val="165A4C22"/>
    <w:rsid w:val="166C69F2"/>
    <w:rsid w:val="166E28C0"/>
    <w:rsid w:val="16756B5B"/>
    <w:rsid w:val="167D1563"/>
    <w:rsid w:val="168C2197"/>
    <w:rsid w:val="16A162B0"/>
    <w:rsid w:val="16B62569"/>
    <w:rsid w:val="16B93A1C"/>
    <w:rsid w:val="16D07D6F"/>
    <w:rsid w:val="16D75BDC"/>
    <w:rsid w:val="16E86EC4"/>
    <w:rsid w:val="16F5504E"/>
    <w:rsid w:val="16FA3AD9"/>
    <w:rsid w:val="170904B4"/>
    <w:rsid w:val="170E464F"/>
    <w:rsid w:val="171D2677"/>
    <w:rsid w:val="172C2E50"/>
    <w:rsid w:val="17460F7F"/>
    <w:rsid w:val="17610A97"/>
    <w:rsid w:val="179071CD"/>
    <w:rsid w:val="17934EF1"/>
    <w:rsid w:val="17A3522F"/>
    <w:rsid w:val="17A46C2E"/>
    <w:rsid w:val="17BC4936"/>
    <w:rsid w:val="17C90320"/>
    <w:rsid w:val="17F5640C"/>
    <w:rsid w:val="17FE74ED"/>
    <w:rsid w:val="18070853"/>
    <w:rsid w:val="1820772A"/>
    <w:rsid w:val="18511271"/>
    <w:rsid w:val="185219BD"/>
    <w:rsid w:val="185B634F"/>
    <w:rsid w:val="186C0AF2"/>
    <w:rsid w:val="187C72AF"/>
    <w:rsid w:val="187F77BF"/>
    <w:rsid w:val="18871179"/>
    <w:rsid w:val="18900EDF"/>
    <w:rsid w:val="189E14AD"/>
    <w:rsid w:val="18A27D80"/>
    <w:rsid w:val="18A36D29"/>
    <w:rsid w:val="18A579F4"/>
    <w:rsid w:val="18AF550B"/>
    <w:rsid w:val="18B46B17"/>
    <w:rsid w:val="18C42368"/>
    <w:rsid w:val="18CB7F5E"/>
    <w:rsid w:val="18EC78F1"/>
    <w:rsid w:val="18F87646"/>
    <w:rsid w:val="19265712"/>
    <w:rsid w:val="19343009"/>
    <w:rsid w:val="196C3E11"/>
    <w:rsid w:val="196E30F3"/>
    <w:rsid w:val="196F007F"/>
    <w:rsid w:val="196F2239"/>
    <w:rsid w:val="197E2B20"/>
    <w:rsid w:val="19893421"/>
    <w:rsid w:val="198D7650"/>
    <w:rsid w:val="1990174F"/>
    <w:rsid w:val="199A2C6D"/>
    <w:rsid w:val="199E0625"/>
    <w:rsid w:val="19A23880"/>
    <w:rsid w:val="19A45770"/>
    <w:rsid w:val="19A96B77"/>
    <w:rsid w:val="19CC3633"/>
    <w:rsid w:val="19F03651"/>
    <w:rsid w:val="19FC7157"/>
    <w:rsid w:val="1A446522"/>
    <w:rsid w:val="1A5D29B1"/>
    <w:rsid w:val="1A707779"/>
    <w:rsid w:val="1A9426AE"/>
    <w:rsid w:val="1AA06AC0"/>
    <w:rsid w:val="1AC505F2"/>
    <w:rsid w:val="1B1458E4"/>
    <w:rsid w:val="1B2800EA"/>
    <w:rsid w:val="1B340505"/>
    <w:rsid w:val="1B4B7034"/>
    <w:rsid w:val="1B5E4733"/>
    <w:rsid w:val="1B751B43"/>
    <w:rsid w:val="1B8B7898"/>
    <w:rsid w:val="1B8D62E9"/>
    <w:rsid w:val="1B93647B"/>
    <w:rsid w:val="1BAE0C5F"/>
    <w:rsid w:val="1BDC4741"/>
    <w:rsid w:val="1C021337"/>
    <w:rsid w:val="1C066FEB"/>
    <w:rsid w:val="1C2F7340"/>
    <w:rsid w:val="1C423843"/>
    <w:rsid w:val="1C4A6155"/>
    <w:rsid w:val="1C4B271C"/>
    <w:rsid w:val="1C564612"/>
    <w:rsid w:val="1C581533"/>
    <w:rsid w:val="1C7118AA"/>
    <w:rsid w:val="1C7373C0"/>
    <w:rsid w:val="1C762991"/>
    <w:rsid w:val="1C8F08A8"/>
    <w:rsid w:val="1C8F31CC"/>
    <w:rsid w:val="1C9074DF"/>
    <w:rsid w:val="1C9F0172"/>
    <w:rsid w:val="1CA26216"/>
    <w:rsid w:val="1CB07C2D"/>
    <w:rsid w:val="1CD74149"/>
    <w:rsid w:val="1CDB3A7D"/>
    <w:rsid w:val="1CDE3806"/>
    <w:rsid w:val="1CF1420A"/>
    <w:rsid w:val="1D023B57"/>
    <w:rsid w:val="1D0F4741"/>
    <w:rsid w:val="1D250F97"/>
    <w:rsid w:val="1D2C35CA"/>
    <w:rsid w:val="1D2E666D"/>
    <w:rsid w:val="1D4015E1"/>
    <w:rsid w:val="1D535CF3"/>
    <w:rsid w:val="1D57662A"/>
    <w:rsid w:val="1D6D3BF5"/>
    <w:rsid w:val="1D754B42"/>
    <w:rsid w:val="1D791842"/>
    <w:rsid w:val="1DA33471"/>
    <w:rsid w:val="1DAD744B"/>
    <w:rsid w:val="1DBE4E54"/>
    <w:rsid w:val="1DC963C0"/>
    <w:rsid w:val="1DCC6312"/>
    <w:rsid w:val="1DD1110B"/>
    <w:rsid w:val="1DD75D3B"/>
    <w:rsid w:val="1DEB2EDD"/>
    <w:rsid w:val="1DF0393D"/>
    <w:rsid w:val="1E0E1E52"/>
    <w:rsid w:val="1E111767"/>
    <w:rsid w:val="1E1B0BD4"/>
    <w:rsid w:val="1E3C4280"/>
    <w:rsid w:val="1E3F4157"/>
    <w:rsid w:val="1E5C25F4"/>
    <w:rsid w:val="1E5D4898"/>
    <w:rsid w:val="1E771048"/>
    <w:rsid w:val="1E7C7620"/>
    <w:rsid w:val="1E8D6CB3"/>
    <w:rsid w:val="1E92041B"/>
    <w:rsid w:val="1EAC2950"/>
    <w:rsid w:val="1EB91AD2"/>
    <w:rsid w:val="1EBD6F81"/>
    <w:rsid w:val="1EC626DF"/>
    <w:rsid w:val="1EF24CEF"/>
    <w:rsid w:val="1EF3568F"/>
    <w:rsid w:val="1F07507F"/>
    <w:rsid w:val="1F2C5B22"/>
    <w:rsid w:val="1F2F248E"/>
    <w:rsid w:val="1F310CC4"/>
    <w:rsid w:val="1F3F3AB9"/>
    <w:rsid w:val="1F6E2221"/>
    <w:rsid w:val="1F706E44"/>
    <w:rsid w:val="1F8E1449"/>
    <w:rsid w:val="1FA449C9"/>
    <w:rsid w:val="1FBB526D"/>
    <w:rsid w:val="1FD10970"/>
    <w:rsid w:val="1FEC155B"/>
    <w:rsid w:val="1FF25904"/>
    <w:rsid w:val="200A0DCB"/>
    <w:rsid w:val="20102F08"/>
    <w:rsid w:val="201E5874"/>
    <w:rsid w:val="203E174B"/>
    <w:rsid w:val="20534362"/>
    <w:rsid w:val="205F5AD4"/>
    <w:rsid w:val="206C01A2"/>
    <w:rsid w:val="2090481F"/>
    <w:rsid w:val="20A867FA"/>
    <w:rsid w:val="20AA343C"/>
    <w:rsid w:val="20AE43F3"/>
    <w:rsid w:val="20B05FE6"/>
    <w:rsid w:val="20C30A2F"/>
    <w:rsid w:val="20CF1ECB"/>
    <w:rsid w:val="20F444DE"/>
    <w:rsid w:val="21104B5B"/>
    <w:rsid w:val="21251576"/>
    <w:rsid w:val="212F3C14"/>
    <w:rsid w:val="212F6579"/>
    <w:rsid w:val="21326AE5"/>
    <w:rsid w:val="216D4243"/>
    <w:rsid w:val="21793B7F"/>
    <w:rsid w:val="21AB6285"/>
    <w:rsid w:val="21B221D1"/>
    <w:rsid w:val="21E017E1"/>
    <w:rsid w:val="21E22BDB"/>
    <w:rsid w:val="22051B6E"/>
    <w:rsid w:val="22072042"/>
    <w:rsid w:val="22252001"/>
    <w:rsid w:val="222C5C8C"/>
    <w:rsid w:val="222D1426"/>
    <w:rsid w:val="22423348"/>
    <w:rsid w:val="224A52BA"/>
    <w:rsid w:val="224F3DDC"/>
    <w:rsid w:val="225633EE"/>
    <w:rsid w:val="22961223"/>
    <w:rsid w:val="229E3CD0"/>
    <w:rsid w:val="22A72E5B"/>
    <w:rsid w:val="22B90654"/>
    <w:rsid w:val="22C3753B"/>
    <w:rsid w:val="22E74F55"/>
    <w:rsid w:val="2308376E"/>
    <w:rsid w:val="231B7DA3"/>
    <w:rsid w:val="23326D30"/>
    <w:rsid w:val="23355E8C"/>
    <w:rsid w:val="23524F66"/>
    <w:rsid w:val="23B53056"/>
    <w:rsid w:val="23E21A66"/>
    <w:rsid w:val="23F02680"/>
    <w:rsid w:val="23F1083D"/>
    <w:rsid w:val="23F95B62"/>
    <w:rsid w:val="240B7994"/>
    <w:rsid w:val="240E0467"/>
    <w:rsid w:val="24195820"/>
    <w:rsid w:val="241B2C7C"/>
    <w:rsid w:val="24283BE1"/>
    <w:rsid w:val="243E5A26"/>
    <w:rsid w:val="24584B25"/>
    <w:rsid w:val="2475567E"/>
    <w:rsid w:val="24840F1E"/>
    <w:rsid w:val="248C37ED"/>
    <w:rsid w:val="248E3023"/>
    <w:rsid w:val="249522C3"/>
    <w:rsid w:val="24BA50EE"/>
    <w:rsid w:val="24E142F7"/>
    <w:rsid w:val="24F2121C"/>
    <w:rsid w:val="25116086"/>
    <w:rsid w:val="25247BD0"/>
    <w:rsid w:val="253D50D3"/>
    <w:rsid w:val="25505AA0"/>
    <w:rsid w:val="25506DC7"/>
    <w:rsid w:val="25516076"/>
    <w:rsid w:val="25534182"/>
    <w:rsid w:val="258E7FA3"/>
    <w:rsid w:val="25936B52"/>
    <w:rsid w:val="25A51EAE"/>
    <w:rsid w:val="25B22113"/>
    <w:rsid w:val="25BD1975"/>
    <w:rsid w:val="25E30015"/>
    <w:rsid w:val="25EF4334"/>
    <w:rsid w:val="25EF6941"/>
    <w:rsid w:val="25F7483E"/>
    <w:rsid w:val="260D0807"/>
    <w:rsid w:val="26162E68"/>
    <w:rsid w:val="263A10CC"/>
    <w:rsid w:val="26790375"/>
    <w:rsid w:val="269C1A84"/>
    <w:rsid w:val="269D2AB1"/>
    <w:rsid w:val="26A379B4"/>
    <w:rsid w:val="26B1614E"/>
    <w:rsid w:val="26CE2F03"/>
    <w:rsid w:val="26D578E0"/>
    <w:rsid w:val="26E329FF"/>
    <w:rsid w:val="270116B2"/>
    <w:rsid w:val="271120D1"/>
    <w:rsid w:val="27293D7E"/>
    <w:rsid w:val="272A04A6"/>
    <w:rsid w:val="2737185A"/>
    <w:rsid w:val="274F27F3"/>
    <w:rsid w:val="2764451F"/>
    <w:rsid w:val="276B4ECF"/>
    <w:rsid w:val="279449AA"/>
    <w:rsid w:val="27957FC5"/>
    <w:rsid w:val="279E1C2B"/>
    <w:rsid w:val="27A31141"/>
    <w:rsid w:val="27B77F55"/>
    <w:rsid w:val="27BE0C16"/>
    <w:rsid w:val="27CA55CB"/>
    <w:rsid w:val="27E836A3"/>
    <w:rsid w:val="27FA0C6B"/>
    <w:rsid w:val="27FE6FDD"/>
    <w:rsid w:val="28066FED"/>
    <w:rsid w:val="281335CC"/>
    <w:rsid w:val="28243D5E"/>
    <w:rsid w:val="283C605F"/>
    <w:rsid w:val="286670C3"/>
    <w:rsid w:val="286A5BC4"/>
    <w:rsid w:val="28706014"/>
    <w:rsid w:val="28922DA1"/>
    <w:rsid w:val="28A03771"/>
    <w:rsid w:val="28CB7C95"/>
    <w:rsid w:val="28CC27DE"/>
    <w:rsid w:val="28D031E2"/>
    <w:rsid w:val="28FD55AA"/>
    <w:rsid w:val="29173994"/>
    <w:rsid w:val="291B0E38"/>
    <w:rsid w:val="291F7457"/>
    <w:rsid w:val="291F7842"/>
    <w:rsid w:val="292172C9"/>
    <w:rsid w:val="29340AA2"/>
    <w:rsid w:val="295D5D22"/>
    <w:rsid w:val="29612051"/>
    <w:rsid w:val="296E324F"/>
    <w:rsid w:val="297368E4"/>
    <w:rsid w:val="29806651"/>
    <w:rsid w:val="299871E6"/>
    <w:rsid w:val="29AB64DE"/>
    <w:rsid w:val="29BF27B2"/>
    <w:rsid w:val="29DC0506"/>
    <w:rsid w:val="29E36B27"/>
    <w:rsid w:val="29FF3BE0"/>
    <w:rsid w:val="2A1D0086"/>
    <w:rsid w:val="2A231F41"/>
    <w:rsid w:val="2A44347F"/>
    <w:rsid w:val="2A4C2B13"/>
    <w:rsid w:val="2A515F60"/>
    <w:rsid w:val="2A684B74"/>
    <w:rsid w:val="2A6E1C39"/>
    <w:rsid w:val="2A721245"/>
    <w:rsid w:val="2AAF2FFD"/>
    <w:rsid w:val="2ABD4953"/>
    <w:rsid w:val="2AD25BD0"/>
    <w:rsid w:val="2B0B1ECB"/>
    <w:rsid w:val="2B180487"/>
    <w:rsid w:val="2B210378"/>
    <w:rsid w:val="2B2A5E7D"/>
    <w:rsid w:val="2B2B683F"/>
    <w:rsid w:val="2B342464"/>
    <w:rsid w:val="2B400CE9"/>
    <w:rsid w:val="2B566A3D"/>
    <w:rsid w:val="2B7811AD"/>
    <w:rsid w:val="2B932598"/>
    <w:rsid w:val="2BA57069"/>
    <w:rsid w:val="2BC90B3A"/>
    <w:rsid w:val="2BEC051F"/>
    <w:rsid w:val="2C047624"/>
    <w:rsid w:val="2C0D0D0E"/>
    <w:rsid w:val="2C1539B1"/>
    <w:rsid w:val="2C427A39"/>
    <w:rsid w:val="2C442D11"/>
    <w:rsid w:val="2C4D59B5"/>
    <w:rsid w:val="2C5E01DF"/>
    <w:rsid w:val="2C6C010D"/>
    <w:rsid w:val="2C915B51"/>
    <w:rsid w:val="2C9251C9"/>
    <w:rsid w:val="2C97307C"/>
    <w:rsid w:val="2C985A22"/>
    <w:rsid w:val="2CA25738"/>
    <w:rsid w:val="2CB67ECA"/>
    <w:rsid w:val="2CDC34AC"/>
    <w:rsid w:val="2CE83308"/>
    <w:rsid w:val="2D0C75AB"/>
    <w:rsid w:val="2D1F263E"/>
    <w:rsid w:val="2D2B7271"/>
    <w:rsid w:val="2D4E3A52"/>
    <w:rsid w:val="2D634C12"/>
    <w:rsid w:val="2DB16868"/>
    <w:rsid w:val="2DCF021D"/>
    <w:rsid w:val="2DE92B39"/>
    <w:rsid w:val="2E03208E"/>
    <w:rsid w:val="2E0C6932"/>
    <w:rsid w:val="2E113F32"/>
    <w:rsid w:val="2E1E77D4"/>
    <w:rsid w:val="2E342EEE"/>
    <w:rsid w:val="2E4F77EC"/>
    <w:rsid w:val="2E5B23CF"/>
    <w:rsid w:val="2E681D83"/>
    <w:rsid w:val="2E69055E"/>
    <w:rsid w:val="2E842F1A"/>
    <w:rsid w:val="2EC901A5"/>
    <w:rsid w:val="2ED56D9E"/>
    <w:rsid w:val="2EEA418A"/>
    <w:rsid w:val="2EFC77BE"/>
    <w:rsid w:val="2F057702"/>
    <w:rsid w:val="2F0D1508"/>
    <w:rsid w:val="2F2E669E"/>
    <w:rsid w:val="2F3271BC"/>
    <w:rsid w:val="2F681E02"/>
    <w:rsid w:val="2F91202E"/>
    <w:rsid w:val="2F980CFF"/>
    <w:rsid w:val="2FC10A38"/>
    <w:rsid w:val="2FDC19FE"/>
    <w:rsid w:val="2FE35273"/>
    <w:rsid w:val="302F3675"/>
    <w:rsid w:val="30632F3C"/>
    <w:rsid w:val="3069435F"/>
    <w:rsid w:val="308C48B8"/>
    <w:rsid w:val="308F1F24"/>
    <w:rsid w:val="30932B0A"/>
    <w:rsid w:val="30963801"/>
    <w:rsid w:val="30975D28"/>
    <w:rsid w:val="30BD37F9"/>
    <w:rsid w:val="30BE2931"/>
    <w:rsid w:val="30BF2661"/>
    <w:rsid w:val="30C12CD9"/>
    <w:rsid w:val="30F401C3"/>
    <w:rsid w:val="30FC2DCE"/>
    <w:rsid w:val="311E7756"/>
    <w:rsid w:val="314D6A90"/>
    <w:rsid w:val="314E006A"/>
    <w:rsid w:val="31621FA8"/>
    <w:rsid w:val="316344A4"/>
    <w:rsid w:val="31686916"/>
    <w:rsid w:val="317124DC"/>
    <w:rsid w:val="318111E1"/>
    <w:rsid w:val="31A14276"/>
    <w:rsid w:val="31DF689B"/>
    <w:rsid w:val="32051A15"/>
    <w:rsid w:val="32197924"/>
    <w:rsid w:val="324F13E4"/>
    <w:rsid w:val="32513718"/>
    <w:rsid w:val="32680BF4"/>
    <w:rsid w:val="3278626B"/>
    <w:rsid w:val="327C40AE"/>
    <w:rsid w:val="32832331"/>
    <w:rsid w:val="32AF32D9"/>
    <w:rsid w:val="32B277AE"/>
    <w:rsid w:val="32B931C0"/>
    <w:rsid w:val="32BE0068"/>
    <w:rsid w:val="32D30133"/>
    <w:rsid w:val="32E64F3B"/>
    <w:rsid w:val="32F52472"/>
    <w:rsid w:val="330453BA"/>
    <w:rsid w:val="33054A59"/>
    <w:rsid w:val="332C091C"/>
    <w:rsid w:val="33426C40"/>
    <w:rsid w:val="33641684"/>
    <w:rsid w:val="337F24D7"/>
    <w:rsid w:val="33801729"/>
    <w:rsid w:val="33881A10"/>
    <w:rsid w:val="33A42F41"/>
    <w:rsid w:val="33A84EC5"/>
    <w:rsid w:val="33B16B78"/>
    <w:rsid w:val="33CD006F"/>
    <w:rsid w:val="33D522B2"/>
    <w:rsid w:val="33F26EF3"/>
    <w:rsid w:val="33F50068"/>
    <w:rsid w:val="34044E56"/>
    <w:rsid w:val="3409704A"/>
    <w:rsid w:val="340A4036"/>
    <w:rsid w:val="34435BC2"/>
    <w:rsid w:val="345B4342"/>
    <w:rsid w:val="34716D10"/>
    <w:rsid w:val="347F6A9B"/>
    <w:rsid w:val="34817FC5"/>
    <w:rsid w:val="348F7828"/>
    <w:rsid w:val="34BB086D"/>
    <w:rsid w:val="34CB6321"/>
    <w:rsid w:val="34CF1F79"/>
    <w:rsid w:val="34D24680"/>
    <w:rsid w:val="34EF6C5E"/>
    <w:rsid w:val="34F514BE"/>
    <w:rsid w:val="35047905"/>
    <w:rsid w:val="3510435E"/>
    <w:rsid w:val="351E3857"/>
    <w:rsid w:val="352268F7"/>
    <w:rsid w:val="35301D0A"/>
    <w:rsid w:val="35335B08"/>
    <w:rsid w:val="35371E6B"/>
    <w:rsid w:val="354C491A"/>
    <w:rsid w:val="354E473A"/>
    <w:rsid w:val="3552087C"/>
    <w:rsid w:val="35645482"/>
    <w:rsid w:val="35652E3B"/>
    <w:rsid w:val="358565B5"/>
    <w:rsid w:val="35B51FD4"/>
    <w:rsid w:val="35B8517C"/>
    <w:rsid w:val="35BD1E03"/>
    <w:rsid w:val="35BD25DC"/>
    <w:rsid w:val="35E84525"/>
    <w:rsid w:val="36307583"/>
    <w:rsid w:val="365A0BD9"/>
    <w:rsid w:val="367A2F75"/>
    <w:rsid w:val="36BF32BE"/>
    <w:rsid w:val="36C13181"/>
    <w:rsid w:val="36C30E79"/>
    <w:rsid w:val="36C41FBB"/>
    <w:rsid w:val="36CF5542"/>
    <w:rsid w:val="36DE3BA8"/>
    <w:rsid w:val="36F00848"/>
    <w:rsid w:val="36FB4456"/>
    <w:rsid w:val="3708011A"/>
    <w:rsid w:val="370A505E"/>
    <w:rsid w:val="370F0A43"/>
    <w:rsid w:val="37165AE0"/>
    <w:rsid w:val="37165EAA"/>
    <w:rsid w:val="37200575"/>
    <w:rsid w:val="37593596"/>
    <w:rsid w:val="37651943"/>
    <w:rsid w:val="377473D8"/>
    <w:rsid w:val="37AB0A1C"/>
    <w:rsid w:val="37B038A7"/>
    <w:rsid w:val="37C55120"/>
    <w:rsid w:val="37CA22DD"/>
    <w:rsid w:val="37E64713"/>
    <w:rsid w:val="37F92A09"/>
    <w:rsid w:val="37FA33A4"/>
    <w:rsid w:val="37FE598E"/>
    <w:rsid w:val="38031C40"/>
    <w:rsid w:val="38102A67"/>
    <w:rsid w:val="384605F0"/>
    <w:rsid w:val="38653D34"/>
    <w:rsid w:val="386D32CC"/>
    <w:rsid w:val="38707A9C"/>
    <w:rsid w:val="38793F95"/>
    <w:rsid w:val="38A85DCD"/>
    <w:rsid w:val="38B041FC"/>
    <w:rsid w:val="38B1479A"/>
    <w:rsid w:val="38C84C79"/>
    <w:rsid w:val="38DD2DD0"/>
    <w:rsid w:val="38DD69E9"/>
    <w:rsid w:val="38F9636C"/>
    <w:rsid w:val="39000072"/>
    <w:rsid w:val="390D3B1C"/>
    <w:rsid w:val="39103271"/>
    <w:rsid w:val="39324E52"/>
    <w:rsid w:val="393A2270"/>
    <w:rsid w:val="394951EB"/>
    <w:rsid w:val="395E248A"/>
    <w:rsid w:val="39610935"/>
    <w:rsid w:val="39722865"/>
    <w:rsid w:val="39861724"/>
    <w:rsid w:val="398A54FA"/>
    <w:rsid w:val="398B158E"/>
    <w:rsid w:val="39962543"/>
    <w:rsid w:val="39BF0CD5"/>
    <w:rsid w:val="39C56FD0"/>
    <w:rsid w:val="39C70F27"/>
    <w:rsid w:val="39CB5D44"/>
    <w:rsid w:val="39D2390C"/>
    <w:rsid w:val="39DE67A3"/>
    <w:rsid w:val="39E81017"/>
    <w:rsid w:val="39FF358C"/>
    <w:rsid w:val="3A050DEB"/>
    <w:rsid w:val="3A093D36"/>
    <w:rsid w:val="3A0B020E"/>
    <w:rsid w:val="3A0F26D2"/>
    <w:rsid w:val="3A461E46"/>
    <w:rsid w:val="3A54032D"/>
    <w:rsid w:val="3A7944B6"/>
    <w:rsid w:val="3A7D66CE"/>
    <w:rsid w:val="3A8337F7"/>
    <w:rsid w:val="3AA0691C"/>
    <w:rsid w:val="3AD464AB"/>
    <w:rsid w:val="3AF03959"/>
    <w:rsid w:val="3AF628B1"/>
    <w:rsid w:val="3B2A62B8"/>
    <w:rsid w:val="3B39116E"/>
    <w:rsid w:val="3B4A33FA"/>
    <w:rsid w:val="3B4D7089"/>
    <w:rsid w:val="3B5604D5"/>
    <w:rsid w:val="3B6A1A6B"/>
    <w:rsid w:val="3B6B4CE4"/>
    <w:rsid w:val="3B6D7FE4"/>
    <w:rsid w:val="3B6E59B8"/>
    <w:rsid w:val="3B76524A"/>
    <w:rsid w:val="3B805961"/>
    <w:rsid w:val="3B914A09"/>
    <w:rsid w:val="3B9C702A"/>
    <w:rsid w:val="3B9E687D"/>
    <w:rsid w:val="3BA25713"/>
    <w:rsid w:val="3BB078C3"/>
    <w:rsid w:val="3BBE5EAE"/>
    <w:rsid w:val="3BC91625"/>
    <w:rsid w:val="3BD53828"/>
    <w:rsid w:val="3BD65F3F"/>
    <w:rsid w:val="3BF10B3D"/>
    <w:rsid w:val="3BF135C0"/>
    <w:rsid w:val="3C053571"/>
    <w:rsid w:val="3C1E5A73"/>
    <w:rsid w:val="3C33136B"/>
    <w:rsid w:val="3C35713C"/>
    <w:rsid w:val="3C3F4DE6"/>
    <w:rsid w:val="3C4223F4"/>
    <w:rsid w:val="3C4817CF"/>
    <w:rsid w:val="3C5E5BCA"/>
    <w:rsid w:val="3C650257"/>
    <w:rsid w:val="3C706035"/>
    <w:rsid w:val="3C756CCE"/>
    <w:rsid w:val="3C777AB5"/>
    <w:rsid w:val="3C7D06EC"/>
    <w:rsid w:val="3CA2636A"/>
    <w:rsid w:val="3CAE219F"/>
    <w:rsid w:val="3CB2531F"/>
    <w:rsid w:val="3CBD2BB9"/>
    <w:rsid w:val="3CC6554C"/>
    <w:rsid w:val="3CD778E9"/>
    <w:rsid w:val="3CF9295F"/>
    <w:rsid w:val="3D086B3F"/>
    <w:rsid w:val="3D0E6729"/>
    <w:rsid w:val="3D175288"/>
    <w:rsid w:val="3D1B2046"/>
    <w:rsid w:val="3D2079E3"/>
    <w:rsid w:val="3D2844C1"/>
    <w:rsid w:val="3D3726A7"/>
    <w:rsid w:val="3D3D411E"/>
    <w:rsid w:val="3D695597"/>
    <w:rsid w:val="3D6A3C20"/>
    <w:rsid w:val="3D726022"/>
    <w:rsid w:val="3D7B06EF"/>
    <w:rsid w:val="3D7B0CBB"/>
    <w:rsid w:val="3D832593"/>
    <w:rsid w:val="3D933614"/>
    <w:rsid w:val="3DAD404E"/>
    <w:rsid w:val="3DF31CFE"/>
    <w:rsid w:val="3DF65002"/>
    <w:rsid w:val="3E0003B9"/>
    <w:rsid w:val="3E1755D4"/>
    <w:rsid w:val="3E20561E"/>
    <w:rsid w:val="3E2A7D9F"/>
    <w:rsid w:val="3E425174"/>
    <w:rsid w:val="3EAE5953"/>
    <w:rsid w:val="3EAE708C"/>
    <w:rsid w:val="3ECC501F"/>
    <w:rsid w:val="3ED74AAA"/>
    <w:rsid w:val="3EE36B45"/>
    <w:rsid w:val="3EEF5897"/>
    <w:rsid w:val="3EFD6125"/>
    <w:rsid w:val="3F051C6B"/>
    <w:rsid w:val="3F0742DF"/>
    <w:rsid w:val="3F0B677C"/>
    <w:rsid w:val="3F153BA9"/>
    <w:rsid w:val="3F514678"/>
    <w:rsid w:val="3F5A2777"/>
    <w:rsid w:val="3F663161"/>
    <w:rsid w:val="3F70527C"/>
    <w:rsid w:val="3F730945"/>
    <w:rsid w:val="3F732569"/>
    <w:rsid w:val="3F7C79F8"/>
    <w:rsid w:val="3F8D11BF"/>
    <w:rsid w:val="3F8E596E"/>
    <w:rsid w:val="3FB75545"/>
    <w:rsid w:val="3FBC527D"/>
    <w:rsid w:val="3FCF2978"/>
    <w:rsid w:val="3FD81228"/>
    <w:rsid w:val="3FDF77B3"/>
    <w:rsid w:val="3FE102A8"/>
    <w:rsid w:val="3FEE7DCA"/>
    <w:rsid w:val="40005A64"/>
    <w:rsid w:val="400B45A2"/>
    <w:rsid w:val="401410DE"/>
    <w:rsid w:val="40366233"/>
    <w:rsid w:val="405F2FA9"/>
    <w:rsid w:val="40840386"/>
    <w:rsid w:val="408606E5"/>
    <w:rsid w:val="409050E6"/>
    <w:rsid w:val="40960104"/>
    <w:rsid w:val="40AA6EBA"/>
    <w:rsid w:val="40AE5B0D"/>
    <w:rsid w:val="40CE22B6"/>
    <w:rsid w:val="40DD322D"/>
    <w:rsid w:val="40F72B0C"/>
    <w:rsid w:val="413332AB"/>
    <w:rsid w:val="4148659F"/>
    <w:rsid w:val="414B5147"/>
    <w:rsid w:val="41633DC4"/>
    <w:rsid w:val="416D297C"/>
    <w:rsid w:val="41880B70"/>
    <w:rsid w:val="419530FD"/>
    <w:rsid w:val="41A87F31"/>
    <w:rsid w:val="41AA5BF3"/>
    <w:rsid w:val="41AB7A74"/>
    <w:rsid w:val="41AF0D4C"/>
    <w:rsid w:val="41BC7ECB"/>
    <w:rsid w:val="4233678E"/>
    <w:rsid w:val="42370C5F"/>
    <w:rsid w:val="42444C48"/>
    <w:rsid w:val="42481879"/>
    <w:rsid w:val="42551F55"/>
    <w:rsid w:val="425F22F6"/>
    <w:rsid w:val="42831588"/>
    <w:rsid w:val="428A008A"/>
    <w:rsid w:val="429468A4"/>
    <w:rsid w:val="4295610A"/>
    <w:rsid w:val="42A54F93"/>
    <w:rsid w:val="42CC3F65"/>
    <w:rsid w:val="42D65310"/>
    <w:rsid w:val="42DC752B"/>
    <w:rsid w:val="42DD499A"/>
    <w:rsid w:val="42EE47DF"/>
    <w:rsid w:val="42F506F0"/>
    <w:rsid w:val="42F814A3"/>
    <w:rsid w:val="43233B7D"/>
    <w:rsid w:val="435744E6"/>
    <w:rsid w:val="43584D33"/>
    <w:rsid w:val="43593AA8"/>
    <w:rsid w:val="436173A6"/>
    <w:rsid w:val="436735E3"/>
    <w:rsid w:val="43694029"/>
    <w:rsid w:val="43702294"/>
    <w:rsid w:val="4388759C"/>
    <w:rsid w:val="43991ACB"/>
    <w:rsid w:val="43A1341E"/>
    <w:rsid w:val="43AF4FE1"/>
    <w:rsid w:val="43B4398F"/>
    <w:rsid w:val="43BE1E05"/>
    <w:rsid w:val="43D17438"/>
    <w:rsid w:val="43DA144D"/>
    <w:rsid w:val="43E60C45"/>
    <w:rsid w:val="43E6398E"/>
    <w:rsid w:val="43E837B0"/>
    <w:rsid w:val="43EA4D2F"/>
    <w:rsid w:val="43FD39FD"/>
    <w:rsid w:val="44183F38"/>
    <w:rsid w:val="4422762E"/>
    <w:rsid w:val="44361BF4"/>
    <w:rsid w:val="443C7AB9"/>
    <w:rsid w:val="443F2B5C"/>
    <w:rsid w:val="44460BF5"/>
    <w:rsid w:val="44682470"/>
    <w:rsid w:val="446915AF"/>
    <w:rsid w:val="446F7CD3"/>
    <w:rsid w:val="44854157"/>
    <w:rsid w:val="44B47655"/>
    <w:rsid w:val="44CD1387"/>
    <w:rsid w:val="44D02130"/>
    <w:rsid w:val="44D55E1D"/>
    <w:rsid w:val="4509639D"/>
    <w:rsid w:val="45111EC7"/>
    <w:rsid w:val="45157E3E"/>
    <w:rsid w:val="45195760"/>
    <w:rsid w:val="452269EC"/>
    <w:rsid w:val="453120DE"/>
    <w:rsid w:val="454A517B"/>
    <w:rsid w:val="4551149B"/>
    <w:rsid w:val="456147D2"/>
    <w:rsid w:val="45690CE4"/>
    <w:rsid w:val="45825A90"/>
    <w:rsid w:val="458659B5"/>
    <w:rsid w:val="45937E02"/>
    <w:rsid w:val="45945AEB"/>
    <w:rsid w:val="45946B50"/>
    <w:rsid w:val="45AC3805"/>
    <w:rsid w:val="45AD70DD"/>
    <w:rsid w:val="45AE3F77"/>
    <w:rsid w:val="45B361BF"/>
    <w:rsid w:val="45BE05D5"/>
    <w:rsid w:val="45CD6DFC"/>
    <w:rsid w:val="45CE71A2"/>
    <w:rsid w:val="45D04AEF"/>
    <w:rsid w:val="45F5106D"/>
    <w:rsid w:val="460F6EAC"/>
    <w:rsid w:val="46574424"/>
    <w:rsid w:val="466A5865"/>
    <w:rsid w:val="46735647"/>
    <w:rsid w:val="467F362C"/>
    <w:rsid w:val="46860928"/>
    <w:rsid w:val="46B134B2"/>
    <w:rsid w:val="46B92F80"/>
    <w:rsid w:val="46C0497F"/>
    <w:rsid w:val="46C70E07"/>
    <w:rsid w:val="46D364B0"/>
    <w:rsid w:val="46D9452B"/>
    <w:rsid w:val="46DD6D1B"/>
    <w:rsid w:val="46E13B1B"/>
    <w:rsid w:val="470A71EA"/>
    <w:rsid w:val="47221951"/>
    <w:rsid w:val="472821EA"/>
    <w:rsid w:val="472B5239"/>
    <w:rsid w:val="47313511"/>
    <w:rsid w:val="474743CD"/>
    <w:rsid w:val="47515CD4"/>
    <w:rsid w:val="475939F0"/>
    <w:rsid w:val="476D35EA"/>
    <w:rsid w:val="4776365A"/>
    <w:rsid w:val="477913CC"/>
    <w:rsid w:val="47795006"/>
    <w:rsid w:val="477A7A11"/>
    <w:rsid w:val="477E1EED"/>
    <w:rsid w:val="47870543"/>
    <w:rsid w:val="47A62870"/>
    <w:rsid w:val="47B2061B"/>
    <w:rsid w:val="47B6464F"/>
    <w:rsid w:val="47B6534A"/>
    <w:rsid w:val="47BE4C39"/>
    <w:rsid w:val="47DF5304"/>
    <w:rsid w:val="47E332C2"/>
    <w:rsid w:val="47F84C04"/>
    <w:rsid w:val="48293DBD"/>
    <w:rsid w:val="4832396B"/>
    <w:rsid w:val="485061EC"/>
    <w:rsid w:val="4856375E"/>
    <w:rsid w:val="48712F1F"/>
    <w:rsid w:val="48774DE9"/>
    <w:rsid w:val="487F57B0"/>
    <w:rsid w:val="487F762B"/>
    <w:rsid w:val="488A6227"/>
    <w:rsid w:val="4890106E"/>
    <w:rsid w:val="48946DE8"/>
    <w:rsid w:val="48C74E77"/>
    <w:rsid w:val="48C769CB"/>
    <w:rsid w:val="48CA35E1"/>
    <w:rsid w:val="48CE369A"/>
    <w:rsid w:val="48D30220"/>
    <w:rsid w:val="48E84B39"/>
    <w:rsid w:val="490620B6"/>
    <w:rsid w:val="493A044B"/>
    <w:rsid w:val="494F5CB1"/>
    <w:rsid w:val="49624FE8"/>
    <w:rsid w:val="49883A40"/>
    <w:rsid w:val="498A6323"/>
    <w:rsid w:val="49AF38DC"/>
    <w:rsid w:val="49B063F3"/>
    <w:rsid w:val="49DA65A7"/>
    <w:rsid w:val="49DE0A77"/>
    <w:rsid w:val="49E551D5"/>
    <w:rsid w:val="49F16A0E"/>
    <w:rsid w:val="4A041F1D"/>
    <w:rsid w:val="4A0756A0"/>
    <w:rsid w:val="4A0D18AB"/>
    <w:rsid w:val="4A0D71FF"/>
    <w:rsid w:val="4A37027D"/>
    <w:rsid w:val="4A497190"/>
    <w:rsid w:val="4A6B7B78"/>
    <w:rsid w:val="4A726C30"/>
    <w:rsid w:val="4A851FA4"/>
    <w:rsid w:val="4A94131B"/>
    <w:rsid w:val="4A98658F"/>
    <w:rsid w:val="4AB02A96"/>
    <w:rsid w:val="4AC920E5"/>
    <w:rsid w:val="4ACD04DB"/>
    <w:rsid w:val="4AD160A9"/>
    <w:rsid w:val="4B08492D"/>
    <w:rsid w:val="4B0A3533"/>
    <w:rsid w:val="4B1B3847"/>
    <w:rsid w:val="4B2358E3"/>
    <w:rsid w:val="4B2B593D"/>
    <w:rsid w:val="4B2C4703"/>
    <w:rsid w:val="4B310E0B"/>
    <w:rsid w:val="4B3928C7"/>
    <w:rsid w:val="4B3B5752"/>
    <w:rsid w:val="4B41240D"/>
    <w:rsid w:val="4B4B2B8E"/>
    <w:rsid w:val="4B6B77BB"/>
    <w:rsid w:val="4B731510"/>
    <w:rsid w:val="4BB04D04"/>
    <w:rsid w:val="4BB3083E"/>
    <w:rsid w:val="4BC2504C"/>
    <w:rsid w:val="4BCB17D3"/>
    <w:rsid w:val="4BCB30CE"/>
    <w:rsid w:val="4BE75898"/>
    <w:rsid w:val="4C1A60BD"/>
    <w:rsid w:val="4C2D7630"/>
    <w:rsid w:val="4C4452CA"/>
    <w:rsid w:val="4C5A13BB"/>
    <w:rsid w:val="4C5A203C"/>
    <w:rsid w:val="4C6F6895"/>
    <w:rsid w:val="4C717681"/>
    <w:rsid w:val="4C8A5DED"/>
    <w:rsid w:val="4C971E00"/>
    <w:rsid w:val="4CAB5883"/>
    <w:rsid w:val="4CBD4F86"/>
    <w:rsid w:val="4CC64189"/>
    <w:rsid w:val="4CDD5268"/>
    <w:rsid w:val="4CE73BD8"/>
    <w:rsid w:val="4CEC595B"/>
    <w:rsid w:val="4D0749A7"/>
    <w:rsid w:val="4D0A508A"/>
    <w:rsid w:val="4D1D042F"/>
    <w:rsid w:val="4D2759EA"/>
    <w:rsid w:val="4D3633A6"/>
    <w:rsid w:val="4D3E72C0"/>
    <w:rsid w:val="4D453539"/>
    <w:rsid w:val="4D541C97"/>
    <w:rsid w:val="4D58477C"/>
    <w:rsid w:val="4D645435"/>
    <w:rsid w:val="4DC0343B"/>
    <w:rsid w:val="4DC4494F"/>
    <w:rsid w:val="4DC603C1"/>
    <w:rsid w:val="4DE36A67"/>
    <w:rsid w:val="4DEF0544"/>
    <w:rsid w:val="4DF83E09"/>
    <w:rsid w:val="4E1421D0"/>
    <w:rsid w:val="4E163C31"/>
    <w:rsid w:val="4E3E2D7A"/>
    <w:rsid w:val="4E5019A6"/>
    <w:rsid w:val="4E63012D"/>
    <w:rsid w:val="4E68635D"/>
    <w:rsid w:val="4E711598"/>
    <w:rsid w:val="4E744401"/>
    <w:rsid w:val="4E752C2F"/>
    <w:rsid w:val="4E773FD8"/>
    <w:rsid w:val="4E93473D"/>
    <w:rsid w:val="4E943B31"/>
    <w:rsid w:val="4E96392F"/>
    <w:rsid w:val="4E980AEB"/>
    <w:rsid w:val="4E9B3283"/>
    <w:rsid w:val="4EA227D6"/>
    <w:rsid w:val="4EA93A38"/>
    <w:rsid w:val="4EAC436F"/>
    <w:rsid w:val="4EC213C5"/>
    <w:rsid w:val="4EC525D7"/>
    <w:rsid w:val="4EC63EA2"/>
    <w:rsid w:val="4ED23213"/>
    <w:rsid w:val="4ED66C6B"/>
    <w:rsid w:val="4EDC6466"/>
    <w:rsid w:val="4EDD08D0"/>
    <w:rsid w:val="4EE6597D"/>
    <w:rsid w:val="4EEE2484"/>
    <w:rsid w:val="4F12122D"/>
    <w:rsid w:val="4F2873B6"/>
    <w:rsid w:val="4F2D5C87"/>
    <w:rsid w:val="4F434D4C"/>
    <w:rsid w:val="4F4E3E25"/>
    <w:rsid w:val="4F4F3EB9"/>
    <w:rsid w:val="4F632445"/>
    <w:rsid w:val="4F633A28"/>
    <w:rsid w:val="4F6613C8"/>
    <w:rsid w:val="4F6A4E44"/>
    <w:rsid w:val="4F7E30A8"/>
    <w:rsid w:val="4F9C22B9"/>
    <w:rsid w:val="4FA86C8B"/>
    <w:rsid w:val="4FAB4A47"/>
    <w:rsid w:val="4FC87C24"/>
    <w:rsid w:val="50012402"/>
    <w:rsid w:val="500B4EC0"/>
    <w:rsid w:val="50264664"/>
    <w:rsid w:val="50375A1D"/>
    <w:rsid w:val="50474BE6"/>
    <w:rsid w:val="505B1411"/>
    <w:rsid w:val="50664C99"/>
    <w:rsid w:val="50700992"/>
    <w:rsid w:val="50891E05"/>
    <w:rsid w:val="50907D07"/>
    <w:rsid w:val="50C15717"/>
    <w:rsid w:val="50D31DDA"/>
    <w:rsid w:val="50E6193E"/>
    <w:rsid w:val="513B0B5F"/>
    <w:rsid w:val="514A00AF"/>
    <w:rsid w:val="516B64AC"/>
    <w:rsid w:val="51A373E7"/>
    <w:rsid w:val="51A74D71"/>
    <w:rsid w:val="51BE30DC"/>
    <w:rsid w:val="51DA153D"/>
    <w:rsid w:val="51DF69C6"/>
    <w:rsid w:val="51E03E15"/>
    <w:rsid w:val="51E14C8F"/>
    <w:rsid w:val="51EB71A0"/>
    <w:rsid w:val="51EF5792"/>
    <w:rsid w:val="520457E3"/>
    <w:rsid w:val="52151926"/>
    <w:rsid w:val="52194385"/>
    <w:rsid w:val="521E44AD"/>
    <w:rsid w:val="52237949"/>
    <w:rsid w:val="52337A4D"/>
    <w:rsid w:val="52387DE8"/>
    <w:rsid w:val="523A362C"/>
    <w:rsid w:val="523C628C"/>
    <w:rsid w:val="52495BB9"/>
    <w:rsid w:val="524D1BEF"/>
    <w:rsid w:val="52604311"/>
    <w:rsid w:val="52805406"/>
    <w:rsid w:val="528D79EF"/>
    <w:rsid w:val="529974DC"/>
    <w:rsid w:val="52C23214"/>
    <w:rsid w:val="52CE7992"/>
    <w:rsid w:val="52FF73C2"/>
    <w:rsid w:val="530624B2"/>
    <w:rsid w:val="530A5D48"/>
    <w:rsid w:val="532B3E83"/>
    <w:rsid w:val="533046E3"/>
    <w:rsid w:val="533878D4"/>
    <w:rsid w:val="535C3BC3"/>
    <w:rsid w:val="53725533"/>
    <w:rsid w:val="53733FCA"/>
    <w:rsid w:val="537C4F1C"/>
    <w:rsid w:val="539C150B"/>
    <w:rsid w:val="539E62D4"/>
    <w:rsid w:val="53A84BC2"/>
    <w:rsid w:val="53AA1949"/>
    <w:rsid w:val="53C04295"/>
    <w:rsid w:val="53CC6C76"/>
    <w:rsid w:val="53DF4277"/>
    <w:rsid w:val="53E34555"/>
    <w:rsid w:val="53ED79CC"/>
    <w:rsid w:val="540222C5"/>
    <w:rsid w:val="540858C7"/>
    <w:rsid w:val="54293EFC"/>
    <w:rsid w:val="54412B77"/>
    <w:rsid w:val="545E63B1"/>
    <w:rsid w:val="54613A7B"/>
    <w:rsid w:val="54764062"/>
    <w:rsid w:val="54764890"/>
    <w:rsid w:val="548A5D2C"/>
    <w:rsid w:val="549B7C44"/>
    <w:rsid w:val="54A27B91"/>
    <w:rsid w:val="54AE642F"/>
    <w:rsid w:val="54B87DF7"/>
    <w:rsid w:val="54C049FC"/>
    <w:rsid w:val="54C2214E"/>
    <w:rsid w:val="54E8506A"/>
    <w:rsid w:val="54F650AF"/>
    <w:rsid w:val="54F94F16"/>
    <w:rsid w:val="54F973B4"/>
    <w:rsid w:val="55053182"/>
    <w:rsid w:val="5528094A"/>
    <w:rsid w:val="5531340F"/>
    <w:rsid w:val="5534771C"/>
    <w:rsid w:val="55362C5D"/>
    <w:rsid w:val="55392055"/>
    <w:rsid w:val="5541782F"/>
    <w:rsid w:val="55666D3D"/>
    <w:rsid w:val="5569054F"/>
    <w:rsid w:val="55714A07"/>
    <w:rsid w:val="557E3C8D"/>
    <w:rsid w:val="558041A0"/>
    <w:rsid w:val="55DA3E1D"/>
    <w:rsid w:val="55DD1E8D"/>
    <w:rsid w:val="55F04464"/>
    <w:rsid w:val="55F46A6E"/>
    <w:rsid w:val="56282B11"/>
    <w:rsid w:val="5657245B"/>
    <w:rsid w:val="565D53A9"/>
    <w:rsid w:val="5676650C"/>
    <w:rsid w:val="569D1D49"/>
    <w:rsid w:val="56A94965"/>
    <w:rsid w:val="56B5723A"/>
    <w:rsid w:val="56BD15B5"/>
    <w:rsid w:val="56D3099E"/>
    <w:rsid w:val="56E70AEB"/>
    <w:rsid w:val="56F3008E"/>
    <w:rsid w:val="57110CF7"/>
    <w:rsid w:val="572900B0"/>
    <w:rsid w:val="57317CFC"/>
    <w:rsid w:val="573D3FF5"/>
    <w:rsid w:val="57493F9E"/>
    <w:rsid w:val="57666B9B"/>
    <w:rsid w:val="57854A3A"/>
    <w:rsid w:val="578775D2"/>
    <w:rsid w:val="57922AEE"/>
    <w:rsid w:val="57C033C9"/>
    <w:rsid w:val="57D95803"/>
    <w:rsid w:val="57E14E6D"/>
    <w:rsid w:val="57E830F8"/>
    <w:rsid w:val="57FE3F4F"/>
    <w:rsid w:val="5807604C"/>
    <w:rsid w:val="580C32E7"/>
    <w:rsid w:val="5810468E"/>
    <w:rsid w:val="58262F88"/>
    <w:rsid w:val="58340645"/>
    <w:rsid w:val="584A37F5"/>
    <w:rsid w:val="584F244D"/>
    <w:rsid w:val="58553578"/>
    <w:rsid w:val="58764B81"/>
    <w:rsid w:val="58840148"/>
    <w:rsid w:val="588E7A80"/>
    <w:rsid w:val="58954F6D"/>
    <w:rsid w:val="589E5C02"/>
    <w:rsid w:val="58A930CD"/>
    <w:rsid w:val="58C2622F"/>
    <w:rsid w:val="58C421CE"/>
    <w:rsid w:val="58DA7FB5"/>
    <w:rsid w:val="58DB496D"/>
    <w:rsid w:val="58EB12E4"/>
    <w:rsid w:val="58F66B47"/>
    <w:rsid w:val="592F0A24"/>
    <w:rsid w:val="5938424C"/>
    <w:rsid w:val="59445A2E"/>
    <w:rsid w:val="59486852"/>
    <w:rsid w:val="59540FA4"/>
    <w:rsid w:val="595D1820"/>
    <w:rsid w:val="595F6E37"/>
    <w:rsid w:val="596B4B17"/>
    <w:rsid w:val="596B67E7"/>
    <w:rsid w:val="596C50AB"/>
    <w:rsid w:val="59720526"/>
    <w:rsid w:val="59872D86"/>
    <w:rsid w:val="599B0C5E"/>
    <w:rsid w:val="59B95869"/>
    <w:rsid w:val="59C15CFA"/>
    <w:rsid w:val="59C7048B"/>
    <w:rsid w:val="59C87D9A"/>
    <w:rsid w:val="59CC27D5"/>
    <w:rsid w:val="59E164BE"/>
    <w:rsid w:val="5A0F7784"/>
    <w:rsid w:val="5A1403F5"/>
    <w:rsid w:val="5A3F7DA2"/>
    <w:rsid w:val="5A454368"/>
    <w:rsid w:val="5A7549FB"/>
    <w:rsid w:val="5A845F60"/>
    <w:rsid w:val="5A8561BE"/>
    <w:rsid w:val="5AC6348B"/>
    <w:rsid w:val="5AC83666"/>
    <w:rsid w:val="5AD430F6"/>
    <w:rsid w:val="5ADF4CBB"/>
    <w:rsid w:val="5AF1450D"/>
    <w:rsid w:val="5B0D3434"/>
    <w:rsid w:val="5B182CF4"/>
    <w:rsid w:val="5B384B4D"/>
    <w:rsid w:val="5B4D2CC7"/>
    <w:rsid w:val="5B50460D"/>
    <w:rsid w:val="5B7C5C20"/>
    <w:rsid w:val="5B9E3660"/>
    <w:rsid w:val="5BAA2DEB"/>
    <w:rsid w:val="5BAC2545"/>
    <w:rsid w:val="5BBB587D"/>
    <w:rsid w:val="5BC2471B"/>
    <w:rsid w:val="5BF07B2B"/>
    <w:rsid w:val="5BFF42DA"/>
    <w:rsid w:val="5C0B270C"/>
    <w:rsid w:val="5C133668"/>
    <w:rsid w:val="5C1807AF"/>
    <w:rsid w:val="5C2F49FF"/>
    <w:rsid w:val="5C487B23"/>
    <w:rsid w:val="5C5171A2"/>
    <w:rsid w:val="5C533FE2"/>
    <w:rsid w:val="5C607914"/>
    <w:rsid w:val="5C640F95"/>
    <w:rsid w:val="5C7B6269"/>
    <w:rsid w:val="5C80415C"/>
    <w:rsid w:val="5CBB0245"/>
    <w:rsid w:val="5CC61742"/>
    <w:rsid w:val="5CF01180"/>
    <w:rsid w:val="5D00076D"/>
    <w:rsid w:val="5D0C59B1"/>
    <w:rsid w:val="5D1638FF"/>
    <w:rsid w:val="5D2A00CF"/>
    <w:rsid w:val="5D712DC5"/>
    <w:rsid w:val="5D8F6F6C"/>
    <w:rsid w:val="5DAC33E2"/>
    <w:rsid w:val="5DB00DE9"/>
    <w:rsid w:val="5DBC67F1"/>
    <w:rsid w:val="5DE02ED7"/>
    <w:rsid w:val="5DF70839"/>
    <w:rsid w:val="5E0139C7"/>
    <w:rsid w:val="5E0C6F0B"/>
    <w:rsid w:val="5E153AAF"/>
    <w:rsid w:val="5E187E29"/>
    <w:rsid w:val="5E423778"/>
    <w:rsid w:val="5E51004B"/>
    <w:rsid w:val="5E5A3E57"/>
    <w:rsid w:val="5E9326D6"/>
    <w:rsid w:val="5EA27C90"/>
    <w:rsid w:val="5F0C06C5"/>
    <w:rsid w:val="5F215D4C"/>
    <w:rsid w:val="5F255DF3"/>
    <w:rsid w:val="5F38038D"/>
    <w:rsid w:val="5F533EF5"/>
    <w:rsid w:val="5F53448A"/>
    <w:rsid w:val="5F796391"/>
    <w:rsid w:val="5F8374B8"/>
    <w:rsid w:val="5F844F44"/>
    <w:rsid w:val="5F8E0B6B"/>
    <w:rsid w:val="5F9B0CE4"/>
    <w:rsid w:val="5FB447A3"/>
    <w:rsid w:val="5FBE6A29"/>
    <w:rsid w:val="5FF32005"/>
    <w:rsid w:val="5FF553F2"/>
    <w:rsid w:val="5FF90017"/>
    <w:rsid w:val="60036474"/>
    <w:rsid w:val="601D7F27"/>
    <w:rsid w:val="606745E7"/>
    <w:rsid w:val="60677997"/>
    <w:rsid w:val="606F43BE"/>
    <w:rsid w:val="607165C8"/>
    <w:rsid w:val="60994878"/>
    <w:rsid w:val="609F52EF"/>
    <w:rsid w:val="60B34D5F"/>
    <w:rsid w:val="60B62D38"/>
    <w:rsid w:val="60B81160"/>
    <w:rsid w:val="60BB0DE1"/>
    <w:rsid w:val="60C63ED7"/>
    <w:rsid w:val="60D44DB9"/>
    <w:rsid w:val="60D61947"/>
    <w:rsid w:val="60D85CE5"/>
    <w:rsid w:val="60E12DE5"/>
    <w:rsid w:val="60FE3609"/>
    <w:rsid w:val="61067479"/>
    <w:rsid w:val="61115374"/>
    <w:rsid w:val="61282522"/>
    <w:rsid w:val="612954F3"/>
    <w:rsid w:val="613A587D"/>
    <w:rsid w:val="61465C04"/>
    <w:rsid w:val="615D4E6D"/>
    <w:rsid w:val="61614F1E"/>
    <w:rsid w:val="616811A9"/>
    <w:rsid w:val="61716A79"/>
    <w:rsid w:val="61767571"/>
    <w:rsid w:val="618522CC"/>
    <w:rsid w:val="61C91627"/>
    <w:rsid w:val="61DA714A"/>
    <w:rsid w:val="61E86CB3"/>
    <w:rsid w:val="61F469F2"/>
    <w:rsid w:val="62002CD9"/>
    <w:rsid w:val="620D4F10"/>
    <w:rsid w:val="621468D5"/>
    <w:rsid w:val="62315A35"/>
    <w:rsid w:val="62391E0E"/>
    <w:rsid w:val="62477905"/>
    <w:rsid w:val="624F0239"/>
    <w:rsid w:val="6258715F"/>
    <w:rsid w:val="625B5693"/>
    <w:rsid w:val="62977E7A"/>
    <w:rsid w:val="62B03FDA"/>
    <w:rsid w:val="62B64629"/>
    <w:rsid w:val="62BA0556"/>
    <w:rsid w:val="62CA07BF"/>
    <w:rsid w:val="62EE7EE6"/>
    <w:rsid w:val="633158EA"/>
    <w:rsid w:val="634C2BE2"/>
    <w:rsid w:val="63510BC7"/>
    <w:rsid w:val="63570141"/>
    <w:rsid w:val="639C600B"/>
    <w:rsid w:val="63A45745"/>
    <w:rsid w:val="63A64C5D"/>
    <w:rsid w:val="63AB565F"/>
    <w:rsid w:val="63C41880"/>
    <w:rsid w:val="63CD7D6A"/>
    <w:rsid w:val="63D6087A"/>
    <w:rsid w:val="63FA2D5F"/>
    <w:rsid w:val="64115F7D"/>
    <w:rsid w:val="64172A3B"/>
    <w:rsid w:val="64193236"/>
    <w:rsid w:val="641F3125"/>
    <w:rsid w:val="641F7E93"/>
    <w:rsid w:val="643C4998"/>
    <w:rsid w:val="643E7200"/>
    <w:rsid w:val="646016B4"/>
    <w:rsid w:val="64621A0C"/>
    <w:rsid w:val="64662328"/>
    <w:rsid w:val="64B14463"/>
    <w:rsid w:val="64C14784"/>
    <w:rsid w:val="64C26C16"/>
    <w:rsid w:val="64C768F3"/>
    <w:rsid w:val="64CA2CA3"/>
    <w:rsid w:val="64D40E37"/>
    <w:rsid w:val="64DB78DF"/>
    <w:rsid w:val="65066269"/>
    <w:rsid w:val="650A629F"/>
    <w:rsid w:val="6514560C"/>
    <w:rsid w:val="651A6E26"/>
    <w:rsid w:val="6524075C"/>
    <w:rsid w:val="653114F8"/>
    <w:rsid w:val="6548274E"/>
    <w:rsid w:val="6549559E"/>
    <w:rsid w:val="65760816"/>
    <w:rsid w:val="657727CF"/>
    <w:rsid w:val="658B10E8"/>
    <w:rsid w:val="6595739E"/>
    <w:rsid w:val="65A362EE"/>
    <w:rsid w:val="65B76AEE"/>
    <w:rsid w:val="65C85F01"/>
    <w:rsid w:val="65CA067E"/>
    <w:rsid w:val="65E9794D"/>
    <w:rsid w:val="65EA597E"/>
    <w:rsid w:val="66113550"/>
    <w:rsid w:val="6623235C"/>
    <w:rsid w:val="66295BF6"/>
    <w:rsid w:val="66320367"/>
    <w:rsid w:val="663C27E3"/>
    <w:rsid w:val="664151CD"/>
    <w:rsid w:val="664D45E3"/>
    <w:rsid w:val="66536C2D"/>
    <w:rsid w:val="665A32CB"/>
    <w:rsid w:val="667401F7"/>
    <w:rsid w:val="66751E28"/>
    <w:rsid w:val="667A39B5"/>
    <w:rsid w:val="66AA2F61"/>
    <w:rsid w:val="66AD43BC"/>
    <w:rsid w:val="66B458BA"/>
    <w:rsid w:val="66DC440A"/>
    <w:rsid w:val="670D2FBA"/>
    <w:rsid w:val="670F41C7"/>
    <w:rsid w:val="671461D4"/>
    <w:rsid w:val="6722097C"/>
    <w:rsid w:val="672F5CB0"/>
    <w:rsid w:val="6762693A"/>
    <w:rsid w:val="67694F3C"/>
    <w:rsid w:val="676B5F98"/>
    <w:rsid w:val="6780756A"/>
    <w:rsid w:val="6781187E"/>
    <w:rsid w:val="67926771"/>
    <w:rsid w:val="67B5390B"/>
    <w:rsid w:val="67C2021C"/>
    <w:rsid w:val="67C2438A"/>
    <w:rsid w:val="67F94859"/>
    <w:rsid w:val="67FD1665"/>
    <w:rsid w:val="68101318"/>
    <w:rsid w:val="681422A6"/>
    <w:rsid w:val="68351369"/>
    <w:rsid w:val="6864706E"/>
    <w:rsid w:val="68982AC3"/>
    <w:rsid w:val="68A600B5"/>
    <w:rsid w:val="68C40351"/>
    <w:rsid w:val="68CD4F3D"/>
    <w:rsid w:val="68DA5E8F"/>
    <w:rsid w:val="68E43503"/>
    <w:rsid w:val="68EF6D84"/>
    <w:rsid w:val="68FF678B"/>
    <w:rsid w:val="690616EB"/>
    <w:rsid w:val="690B4547"/>
    <w:rsid w:val="690F4A86"/>
    <w:rsid w:val="6915071B"/>
    <w:rsid w:val="69512922"/>
    <w:rsid w:val="695F4151"/>
    <w:rsid w:val="69931988"/>
    <w:rsid w:val="69BA424B"/>
    <w:rsid w:val="69CE0260"/>
    <w:rsid w:val="69DA628E"/>
    <w:rsid w:val="69E43619"/>
    <w:rsid w:val="69EE289A"/>
    <w:rsid w:val="69F13D2E"/>
    <w:rsid w:val="6A007D55"/>
    <w:rsid w:val="6A0B4F9B"/>
    <w:rsid w:val="6A13424C"/>
    <w:rsid w:val="6A170BB2"/>
    <w:rsid w:val="6A4F2EA2"/>
    <w:rsid w:val="6A56434D"/>
    <w:rsid w:val="6A693BBC"/>
    <w:rsid w:val="6A7D61F6"/>
    <w:rsid w:val="6A9202F1"/>
    <w:rsid w:val="6A947A4E"/>
    <w:rsid w:val="6A9519BB"/>
    <w:rsid w:val="6AA66AB9"/>
    <w:rsid w:val="6AB2003E"/>
    <w:rsid w:val="6AC85E7F"/>
    <w:rsid w:val="6ACD40B8"/>
    <w:rsid w:val="6AE3382A"/>
    <w:rsid w:val="6B31288E"/>
    <w:rsid w:val="6B5D27E5"/>
    <w:rsid w:val="6B76731B"/>
    <w:rsid w:val="6B7E1FB9"/>
    <w:rsid w:val="6B8F216E"/>
    <w:rsid w:val="6B92176D"/>
    <w:rsid w:val="6BB3540C"/>
    <w:rsid w:val="6BBA0594"/>
    <w:rsid w:val="6BC03A75"/>
    <w:rsid w:val="6BDE4054"/>
    <w:rsid w:val="6BFC3791"/>
    <w:rsid w:val="6C0D7041"/>
    <w:rsid w:val="6C2D3278"/>
    <w:rsid w:val="6C31441D"/>
    <w:rsid w:val="6C417D6D"/>
    <w:rsid w:val="6C7D2DDC"/>
    <w:rsid w:val="6C8D764E"/>
    <w:rsid w:val="6CAF5890"/>
    <w:rsid w:val="6CB07D5E"/>
    <w:rsid w:val="6CB4534E"/>
    <w:rsid w:val="6CC37B9C"/>
    <w:rsid w:val="6CCB0F06"/>
    <w:rsid w:val="6CCF38AB"/>
    <w:rsid w:val="6CDB42AA"/>
    <w:rsid w:val="6CEF4C46"/>
    <w:rsid w:val="6CF04CB7"/>
    <w:rsid w:val="6CF759FD"/>
    <w:rsid w:val="6D305C48"/>
    <w:rsid w:val="6D4D3954"/>
    <w:rsid w:val="6D720532"/>
    <w:rsid w:val="6D734A8D"/>
    <w:rsid w:val="6D79494A"/>
    <w:rsid w:val="6D7F01E1"/>
    <w:rsid w:val="6D7F6F34"/>
    <w:rsid w:val="6D806EE0"/>
    <w:rsid w:val="6D853B8B"/>
    <w:rsid w:val="6D8C11B7"/>
    <w:rsid w:val="6D901C87"/>
    <w:rsid w:val="6DA233BB"/>
    <w:rsid w:val="6DC73630"/>
    <w:rsid w:val="6DD6259E"/>
    <w:rsid w:val="6DDE0BA8"/>
    <w:rsid w:val="6DE8463F"/>
    <w:rsid w:val="6DFF6769"/>
    <w:rsid w:val="6E0F42D7"/>
    <w:rsid w:val="6E10520E"/>
    <w:rsid w:val="6E383560"/>
    <w:rsid w:val="6E3A65ED"/>
    <w:rsid w:val="6E3C75E1"/>
    <w:rsid w:val="6E6A2CCE"/>
    <w:rsid w:val="6E803FAB"/>
    <w:rsid w:val="6E980058"/>
    <w:rsid w:val="6E9D1902"/>
    <w:rsid w:val="6EA04D98"/>
    <w:rsid w:val="6EA176A7"/>
    <w:rsid w:val="6EB66255"/>
    <w:rsid w:val="6F734DE5"/>
    <w:rsid w:val="6F8C3215"/>
    <w:rsid w:val="6F9506CD"/>
    <w:rsid w:val="6FBE75E3"/>
    <w:rsid w:val="6FC841B3"/>
    <w:rsid w:val="700329CF"/>
    <w:rsid w:val="701350E9"/>
    <w:rsid w:val="70193B84"/>
    <w:rsid w:val="70473147"/>
    <w:rsid w:val="70601A20"/>
    <w:rsid w:val="7098160C"/>
    <w:rsid w:val="709D68B7"/>
    <w:rsid w:val="70A57956"/>
    <w:rsid w:val="70AB063D"/>
    <w:rsid w:val="70C51232"/>
    <w:rsid w:val="70D03477"/>
    <w:rsid w:val="70E17439"/>
    <w:rsid w:val="70F01A26"/>
    <w:rsid w:val="70F8202E"/>
    <w:rsid w:val="711552EE"/>
    <w:rsid w:val="7136046B"/>
    <w:rsid w:val="71385225"/>
    <w:rsid w:val="713877D9"/>
    <w:rsid w:val="7181502C"/>
    <w:rsid w:val="71AF38AC"/>
    <w:rsid w:val="71C479D1"/>
    <w:rsid w:val="71C47E4E"/>
    <w:rsid w:val="71CB60DC"/>
    <w:rsid w:val="71DA4CBE"/>
    <w:rsid w:val="71E843B7"/>
    <w:rsid w:val="721125C0"/>
    <w:rsid w:val="721957C7"/>
    <w:rsid w:val="724E5421"/>
    <w:rsid w:val="72610CEA"/>
    <w:rsid w:val="72662A63"/>
    <w:rsid w:val="726D1E7E"/>
    <w:rsid w:val="729D520E"/>
    <w:rsid w:val="729F5273"/>
    <w:rsid w:val="72A52DD3"/>
    <w:rsid w:val="72A77442"/>
    <w:rsid w:val="72AA6F75"/>
    <w:rsid w:val="72C76F05"/>
    <w:rsid w:val="72CA3347"/>
    <w:rsid w:val="72D35423"/>
    <w:rsid w:val="72DE4488"/>
    <w:rsid w:val="72F03E52"/>
    <w:rsid w:val="73057817"/>
    <w:rsid w:val="731912A8"/>
    <w:rsid w:val="734A5219"/>
    <w:rsid w:val="73557D4F"/>
    <w:rsid w:val="73572873"/>
    <w:rsid w:val="7358459E"/>
    <w:rsid w:val="736935D7"/>
    <w:rsid w:val="737118EB"/>
    <w:rsid w:val="737662C5"/>
    <w:rsid w:val="737E50A7"/>
    <w:rsid w:val="737F2406"/>
    <w:rsid w:val="738244FF"/>
    <w:rsid w:val="73A860F0"/>
    <w:rsid w:val="73AA221C"/>
    <w:rsid w:val="73C20EC2"/>
    <w:rsid w:val="73D04CD2"/>
    <w:rsid w:val="73D3288B"/>
    <w:rsid w:val="73D55573"/>
    <w:rsid w:val="73F53B16"/>
    <w:rsid w:val="73FF087C"/>
    <w:rsid w:val="74086547"/>
    <w:rsid w:val="74495658"/>
    <w:rsid w:val="7469117C"/>
    <w:rsid w:val="748840EB"/>
    <w:rsid w:val="74987E60"/>
    <w:rsid w:val="74A137FB"/>
    <w:rsid w:val="74AE616A"/>
    <w:rsid w:val="74DE227A"/>
    <w:rsid w:val="7500263E"/>
    <w:rsid w:val="75022979"/>
    <w:rsid w:val="750A7D40"/>
    <w:rsid w:val="75144EA3"/>
    <w:rsid w:val="75452453"/>
    <w:rsid w:val="75522119"/>
    <w:rsid w:val="75600CB3"/>
    <w:rsid w:val="758678F1"/>
    <w:rsid w:val="75975104"/>
    <w:rsid w:val="75A827E0"/>
    <w:rsid w:val="75B90DC1"/>
    <w:rsid w:val="75BC3E5E"/>
    <w:rsid w:val="75E86C33"/>
    <w:rsid w:val="7603527E"/>
    <w:rsid w:val="76090183"/>
    <w:rsid w:val="7618037D"/>
    <w:rsid w:val="762B6D7D"/>
    <w:rsid w:val="76306827"/>
    <w:rsid w:val="764052DA"/>
    <w:rsid w:val="76413C7D"/>
    <w:rsid w:val="764517F5"/>
    <w:rsid w:val="767D79C3"/>
    <w:rsid w:val="768D34DA"/>
    <w:rsid w:val="76A349BD"/>
    <w:rsid w:val="76A84A41"/>
    <w:rsid w:val="76B52A1E"/>
    <w:rsid w:val="76B545CB"/>
    <w:rsid w:val="76F15E0C"/>
    <w:rsid w:val="770E2C1A"/>
    <w:rsid w:val="7718263B"/>
    <w:rsid w:val="77456248"/>
    <w:rsid w:val="77771C8D"/>
    <w:rsid w:val="77957A74"/>
    <w:rsid w:val="77A40880"/>
    <w:rsid w:val="77A502A9"/>
    <w:rsid w:val="77CC63FB"/>
    <w:rsid w:val="77E61CF3"/>
    <w:rsid w:val="77EA5BA3"/>
    <w:rsid w:val="77F50AA1"/>
    <w:rsid w:val="77FD20BA"/>
    <w:rsid w:val="78081E63"/>
    <w:rsid w:val="780A7B26"/>
    <w:rsid w:val="78217520"/>
    <w:rsid w:val="78220463"/>
    <w:rsid w:val="78290A4A"/>
    <w:rsid w:val="78327BE9"/>
    <w:rsid w:val="7859693C"/>
    <w:rsid w:val="786B3DCD"/>
    <w:rsid w:val="78702DC6"/>
    <w:rsid w:val="7889766C"/>
    <w:rsid w:val="78980BC8"/>
    <w:rsid w:val="789F4D56"/>
    <w:rsid w:val="78A47B70"/>
    <w:rsid w:val="78C070A2"/>
    <w:rsid w:val="78EA08F8"/>
    <w:rsid w:val="78FE5B9E"/>
    <w:rsid w:val="790A4866"/>
    <w:rsid w:val="790D6FBC"/>
    <w:rsid w:val="791209F5"/>
    <w:rsid w:val="7920724B"/>
    <w:rsid w:val="793303AE"/>
    <w:rsid w:val="79423448"/>
    <w:rsid w:val="79427075"/>
    <w:rsid w:val="794632A4"/>
    <w:rsid w:val="794B0D13"/>
    <w:rsid w:val="794D2BE3"/>
    <w:rsid w:val="795041FC"/>
    <w:rsid w:val="799163AC"/>
    <w:rsid w:val="79B01AEA"/>
    <w:rsid w:val="79B96AB3"/>
    <w:rsid w:val="79BF62D0"/>
    <w:rsid w:val="79BF657D"/>
    <w:rsid w:val="79C72DD7"/>
    <w:rsid w:val="79D466A8"/>
    <w:rsid w:val="79FF09A2"/>
    <w:rsid w:val="7A1D3D42"/>
    <w:rsid w:val="7A27482F"/>
    <w:rsid w:val="7A401CD0"/>
    <w:rsid w:val="7A633442"/>
    <w:rsid w:val="7A6545E9"/>
    <w:rsid w:val="7A682EA8"/>
    <w:rsid w:val="7A70595C"/>
    <w:rsid w:val="7A746E9E"/>
    <w:rsid w:val="7A841E44"/>
    <w:rsid w:val="7A8D578A"/>
    <w:rsid w:val="7A963C2A"/>
    <w:rsid w:val="7AA2224A"/>
    <w:rsid w:val="7AAA367B"/>
    <w:rsid w:val="7AAD11EE"/>
    <w:rsid w:val="7AB212F2"/>
    <w:rsid w:val="7ABA5730"/>
    <w:rsid w:val="7ABD1BF0"/>
    <w:rsid w:val="7ACC6AA2"/>
    <w:rsid w:val="7AFB3DA0"/>
    <w:rsid w:val="7B05561F"/>
    <w:rsid w:val="7B146BF0"/>
    <w:rsid w:val="7B1759AB"/>
    <w:rsid w:val="7B1917B2"/>
    <w:rsid w:val="7B321E5D"/>
    <w:rsid w:val="7B501602"/>
    <w:rsid w:val="7B5F3A80"/>
    <w:rsid w:val="7B602FA9"/>
    <w:rsid w:val="7B751F0F"/>
    <w:rsid w:val="7BAB604D"/>
    <w:rsid w:val="7BB53788"/>
    <w:rsid w:val="7BBA4385"/>
    <w:rsid w:val="7BD648E4"/>
    <w:rsid w:val="7BD82B0D"/>
    <w:rsid w:val="7C1E715B"/>
    <w:rsid w:val="7C2B4CB9"/>
    <w:rsid w:val="7C376828"/>
    <w:rsid w:val="7C4C06B2"/>
    <w:rsid w:val="7C5D74EB"/>
    <w:rsid w:val="7C701B47"/>
    <w:rsid w:val="7C795C9A"/>
    <w:rsid w:val="7C7C2169"/>
    <w:rsid w:val="7C800E16"/>
    <w:rsid w:val="7CA56D5D"/>
    <w:rsid w:val="7CC22D88"/>
    <w:rsid w:val="7CCF39FC"/>
    <w:rsid w:val="7CD21F5D"/>
    <w:rsid w:val="7CFB1810"/>
    <w:rsid w:val="7D233E64"/>
    <w:rsid w:val="7D2A4D69"/>
    <w:rsid w:val="7D320C98"/>
    <w:rsid w:val="7D752FB1"/>
    <w:rsid w:val="7DA53BEB"/>
    <w:rsid w:val="7DB65EFC"/>
    <w:rsid w:val="7DB75BF3"/>
    <w:rsid w:val="7DC04E9D"/>
    <w:rsid w:val="7DCB5498"/>
    <w:rsid w:val="7DCF6290"/>
    <w:rsid w:val="7DD82FFD"/>
    <w:rsid w:val="7E3571F8"/>
    <w:rsid w:val="7E3F5FD5"/>
    <w:rsid w:val="7E580861"/>
    <w:rsid w:val="7E7A5319"/>
    <w:rsid w:val="7E7E0BDD"/>
    <w:rsid w:val="7E81544F"/>
    <w:rsid w:val="7E8C0F4D"/>
    <w:rsid w:val="7E9078CE"/>
    <w:rsid w:val="7EAC2A95"/>
    <w:rsid w:val="7EB942E6"/>
    <w:rsid w:val="7EEF4939"/>
    <w:rsid w:val="7EFA6744"/>
    <w:rsid w:val="7F012891"/>
    <w:rsid w:val="7F6937F4"/>
    <w:rsid w:val="7F6C1436"/>
    <w:rsid w:val="7F6E7815"/>
    <w:rsid w:val="7F72680F"/>
    <w:rsid w:val="7F837A6F"/>
    <w:rsid w:val="7F875BA2"/>
    <w:rsid w:val="7FA62CED"/>
    <w:rsid w:val="7FA8305B"/>
    <w:rsid w:val="7FAD3CB4"/>
    <w:rsid w:val="7FBA711A"/>
    <w:rsid w:val="7FC30910"/>
    <w:rsid w:val="7FC93E4F"/>
    <w:rsid w:val="7FCE57F6"/>
    <w:rsid w:val="7FD11543"/>
    <w:rsid w:val="7FFB70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line="576" w:lineRule="auto"/>
      <w:outlineLvl w:val="0"/>
    </w:pPr>
    <w:rPr>
      <w:b/>
      <w:kern w:val="44"/>
      <w:sz w:val="44"/>
    </w:rPr>
  </w:style>
  <w:style w:type="paragraph" w:styleId="4">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paragraph" w:styleId="5">
    <w:name w:val="heading 3"/>
    <w:basedOn w:val="1"/>
    <w:next w:val="1"/>
    <w:unhideWhenUsed/>
    <w:qFormat/>
    <w:uiPriority w:val="0"/>
    <w:pPr>
      <w:keepNext/>
      <w:keepLines/>
      <w:spacing w:line="413" w:lineRule="auto"/>
      <w:outlineLvl w:val="2"/>
    </w:pPr>
    <w:rPr>
      <w:b/>
      <w:sz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ind w:firstLine="640" w:firstLineChars="200"/>
    </w:pPr>
    <w:rPr>
      <w:rFonts w:ascii="仿宋_GB2312" w:hAnsi="仿宋" w:eastAsia="仿宋_GB2312" w:cs="仿宋"/>
      <w:sz w:val="32"/>
      <w:szCs w:val="32"/>
    </w:rPr>
  </w:style>
  <w:style w:type="paragraph" w:styleId="6">
    <w:name w:val="annotation text"/>
    <w:basedOn w:val="1"/>
    <w:qFormat/>
    <w:uiPriority w:val="0"/>
    <w:pPr>
      <w:jc w:val="left"/>
    </w:pPr>
  </w:style>
  <w:style w:type="paragraph" w:styleId="7">
    <w:name w:val="Body Text"/>
    <w:basedOn w:val="8"/>
    <w:next w:val="8"/>
    <w:qFormat/>
    <w:uiPriority w:val="1"/>
    <w:pPr>
      <w:ind w:left="530"/>
    </w:pPr>
    <w:rPr>
      <w:rFonts w:ascii="宋体" w:hAnsi="宋体" w:eastAsia="宋体" w:cs="宋体"/>
      <w:sz w:val="31"/>
      <w:szCs w:val="31"/>
      <w:lang w:val="zh-CN" w:bidi="zh-CN"/>
    </w:rPr>
  </w:style>
  <w:style w:type="paragraph" w:styleId="8">
    <w:name w:val="Title"/>
    <w:basedOn w:val="1"/>
    <w:next w:val="1"/>
    <w:qFormat/>
    <w:uiPriority w:val="0"/>
    <w:pPr>
      <w:spacing w:before="240" w:after="60"/>
      <w:jc w:val="center"/>
      <w:outlineLvl w:val="0"/>
    </w:pPr>
    <w:rPr>
      <w:rFonts w:asciiTheme="majorHAnsi" w:hAnsiTheme="majorHAnsi" w:cstheme="majorBidi"/>
      <w:b/>
      <w:bCs/>
      <w:sz w:val="32"/>
      <w:szCs w:val="32"/>
    </w:rPr>
  </w:style>
  <w:style w:type="paragraph" w:styleId="9">
    <w:name w:val="Balloon Text"/>
    <w:basedOn w:val="1"/>
    <w:link w:val="23"/>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toc 1"/>
    <w:basedOn w:val="1"/>
    <w:next w:val="1"/>
    <w:qFormat/>
    <w:uiPriority w:val="0"/>
  </w:style>
  <w:style w:type="table" w:styleId="14">
    <w:name w:val="Table Grid"/>
    <w:basedOn w:val="13"/>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annotation reference"/>
    <w:basedOn w:val="15"/>
    <w:qFormat/>
    <w:uiPriority w:val="0"/>
    <w:rPr>
      <w:sz w:val="21"/>
      <w:szCs w:val="21"/>
    </w:rPr>
  </w:style>
  <w:style w:type="paragraph" w:customStyle="1" w:styleId="17">
    <w:name w:val="目录 21"/>
    <w:basedOn w:val="1"/>
    <w:next w:val="1"/>
    <w:qFormat/>
    <w:uiPriority w:val="0"/>
    <w:pPr>
      <w:spacing w:before="100" w:beforeAutospacing="1" w:after="100" w:afterAutospacing="1"/>
      <w:ind w:left="420" w:leftChars="200"/>
    </w:pPr>
  </w:style>
  <w:style w:type="paragraph" w:customStyle="1" w:styleId="18">
    <w:name w:val="WPSOffice手动目录 1"/>
    <w:qFormat/>
    <w:uiPriority w:val="0"/>
    <w:rPr>
      <w:rFonts w:asciiTheme="minorHAnsi" w:hAnsiTheme="minorHAnsi" w:eastAsiaTheme="minorHAnsi" w:cstheme="minorBidi"/>
      <w:lang w:val="en-US" w:eastAsia="zh-CN" w:bidi="ar-SA"/>
    </w:rPr>
  </w:style>
  <w:style w:type="paragraph" w:customStyle="1" w:styleId="19">
    <w:name w:val="列出段落1"/>
    <w:basedOn w:val="1"/>
    <w:qFormat/>
    <w:uiPriority w:val="1"/>
    <w:pPr>
      <w:ind w:left="530" w:firstLine="645"/>
    </w:pPr>
    <w:rPr>
      <w:rFonts w:ascii="宋体" w:hAnsi="宋体" w:eastAsia="宋体" w:cs="宋体"/>
      <w:lang w:val="zh-CN" w:bidi="zh-CN"/>
    </w:rPr>
  </w:style>
  <w:style w:type="paragraph" w:customStyle="1" w:styleId="20">
    <w:name w:val="公文2"/>
    <w:basedOn w:val="1"/>
    <w:qFormat/>
    <w:uiPriority w:val="0"/>
    <w:pPr>
      <w:numPr>
        <w:ilvl w:val="1"/>
        <w:numId w:val="1"/>
      </w:numPr>
      <w:outlineLvl w:val="1"/>
    </w:pPr>
    <w:rPr>
      <w:rFonts w:ascii="Arial" w:hAnsi="Arial" w:eastAsia="仿宋_GB2312"/>
      <w:bCs/>
      <w:sz w:val="32"/>
      <w:szCs w:val="32"/>
    </w:rPr>
  </w:style>
  <w:style w:type="character" w:customStyle="1" w:styleId="21">
    <w:name w:val="fontstyle01"/>
    <w:basedOn w:val="15"/>
    <w:qFormat/>
    <w:uiPriority w:val="0"/>
    <w:rPr>
      <w:rFonts w:ascii="FZFSK--GBK1-0" w:hAnsi="FZFSK--GBK1-0" w:eastAsia="FZFSK--GBK1-0" w:cs="FZFSK--GBK1-0"/>
      <w:color w:val="000000"/>
      <w:sz w:val="30"/>
      <w:szCs w:val="30"/>
    </w:rPr>
  </w:style>
  <w:style w:type="character" w:customStyle="1" w:styleId="22">
    <w:name w:val="fontstyle21"/>
    <w:basedOn w:val="15"/>
    <w:qFormat/>
    <w:uiPriority w:val="0"/>
    <w:rPr>
      <w:rFonts w:ascii="TimesNewRomanPSMT" w:hAnsi="TimesNewRomanPSMT" w:eastAsia="TimesNewRomanPSMT" w:cs="TimesNewRomanPSMT"/>
      <w:color w:val="000000"/>
      <w:sz w:val="28"/>
      <w:szCs w:val="28"/>
    </w:rPr>
  </w:style>
  <w:style w:type="character" w:customStyle="1" w:styleId="23">
    <w:name w:val="批注框文本 Char"/>
    <w:basedOn w:val="15"/>
    <w:link w:val="9"/>
    <w:qFormat/>
    <w:uiPriority w:val="0"/>
    <w:rPr>
      <w:rFonts w:asciiTheme="minorHAnsi" w:hAnsiTheme="minorHAnsi" w:eastAsiaTheme="minorEastAsia" w:cstheme="minorBidi"/>
      <w:kern w:val="2"/>
      <w:sz w:val="18"/>
      <w:szCs w:val="18"/>
    </w:rPr>
  </w:style>
  <w:style w:type="paragraph" w:styleId="2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29</Pages>
  <Words>2251</Words>
  <Characters>12836</Characters>
  <Lines>106</Lines>
  <Paragraphs>30</Paragraphs>
  <TotalTime>29</TotalTime>
  <ScaleCrop>false</ScaleCrop>
  <LinksUpToDate>false</LinksUpToDate>
  <CharactersWithSpaces>15057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2020-09-02T08:25:00Z</dcterms:created>
  <dc:creator>秦</dc:creator>
  <cp:lastModifiedBy>农植贵</cp:lastModifiedBy>
  <cp:lastPrinted>2022-12-09T07:23:00Z</cp:lastPrinted>
  <dcterms:modified xsi:type="dcterms:W3CDTF">2024-12-25T09:37:25Z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63CB32D0693347A9AE29C403111AB4DB</vt:lpwstr>
  </property>
</Properties>
</file>