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line="580" w:lineRule="exact"/>
        <w:ind w:right="0"/>
        <w:jc w:val="both"/>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eastAsia="zh-CN"/>
        </w:rPr>
        <w:t>附件</w:t>
      </w:r>
      <w:r>
        <w:rPr>
          <w:rFonts w:hint="eastAsia" w:ascii="黑体" w:hAnsi="黑体" w:eastAsia="黑体" w:cs="黑体"/>
          <w:color w:val="auto"/>
          <w:sz w:val="32"/>
          <w:szCs w:val="32"/>
          <w:lang w:val="en-US" w:eastAsia="zh-CN"/>
        </w:rPr>
        <w:t>2-1：</w:t>
      </w:r>
    </w:p>
    <w:p>
      <w:pPr>
        <w:pStyle w:val="4"/>
        <w:rPr>
          <w:rFonts w:hint="eastAsia"/>
        </w:rPr>
      </w:pPr>
    </w:p>
    <w:p>
      <w:pPr>
        <w:pStyle w:val="3"/>
        <w:spacing w:before="0" w:line="580" w:lineRule="exact"/>
        <w:ind w:right="0"/>
        <w:jc w:val="center"/>
        <w:rPr>
          <w:rFonts w:hint="eastAsia" w:ascii="方正小标宋_GBK" w:eastAsia="方正小标宋_GBK"/>
          <w:color w:val="auto"/>
          <w:sz w:val="44"/>
          <w:lang w:eastAsia="zh-CN"/>
        </w:rPr>
      </w:pPr>
      <w:r>
        <w:rPr>
          <w:rFonts w:hint="eastAsia" w:ascii="方正小标宋_GBK" w:eastAsia="方正小标宋_GBK"/>
          <w:color w:val="auto"/>
          <w:sz w:val="44"/>
        </w:rPr>
        <w:t>广</w:t>
      </w:r>
      <w:r>
        <w:rPr>
          <w:rFonts w:hint="eastAsia" w:ascii="方正小标宋_GBK" w:eastAsia="方正小标宋_GBK"/>
          <w:color w:val="auto"/>
          <w:sz w:val="44"/>
          <w:lang w:val="en-US" w:eastAsia="zh-CN"/>
        </w:rPr>
        <w:t>西</w:t>
      </w:r>
      <w:r>
        <w:rPr>
          <w:rFonts w:hint="eastAsia" w:ascii="方正小标宋_GBK" w:eastAsia="方正小标宋_GBK"/>
          <w:color w:val="auto"/>
          <w:sz w:val="44"/>
        </w:rPr>
        <w:t>电力现货市场机组发电成本测算办法</w:t>
      </w:r>
      <w:r>
        <w:rPr>
          <w:rFonts w:hint="eastAsia" w:ascii="方正小标宋_GBK" w:eastAsia="方正小标宋_GBK"/>
          <w:color w:val="auto"/>
          <w:sz w:val="44"/>
          <w:lang w:eastAsia="zh-CN"/>
        </w:rPr>
        <w:t>（试行）</w:t>
      </w:r>
    </w:p>
    <w:p>
      <w:pPr>
        <w:pStyle w:val="3"/>
        <w:tabs>
          <w:tab w:val="left" w:pos="659"/>
        </w:tabs>
        <w:spacing w:line="580" w:lineRule="exact"/>
        <w:ind w:left="0" w:firstLine="611" w:firstLineChars="200"/>
        <w:outlineLvl w:val="0"/>
        <w:rPr>
          <w:rFonts w:hint="eastAsia" w:ascii="仿宋_GB2312" w:hAnsi="仿宋_GB2312" w:eastAsia="仿宋_GB2312" w:cs="仿宋_GB2312"/>
          <w:b/>
          <w:bCs/>
          <w:color w:val="auto"/>
          <w:w w:val="95"/>
          <w:sz w:val="32"/>
          <w:szCs w:val="32"/>
          <w:highlight w:val="none"/>
          <w:lang w:eastAsia="zh-CN"/>
        </w:rPr>
      </w:pPr>
    </w:p>
    <w:p>
      <w:pPr>
        <w:pStyle w:val="3"/>
        <w:tabs>
          <w:tab w:val="left" w:pos="659"/>
        </w:tabs>
        <w:spacing w:line="580" w:lineRule="exact"/>
        <w:ind w:left="0" w:firstLine="611" w:firstLineChars="200"/>
        <w:outlineLvl w:val="0"/>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w w:val="95"/>
          <w:sz w:val="32"/>
          <w:szCs w:val="32"/>
          <w:highlight w:val="none"/>
          <w:lang w:eastAsia="zh-CN"/>
        </w:rPr>
        <w:t>1</w:t>
      </w:r>
      <w:r>
        <w:rPr>
          <w:rFonts w:hint="eastAsia" w:ascii="仿宋_GB2312" w:hAnsi="仿宋_GB2312" w:eastAsia="仿宋_GB2312" w:cs="仿宋_GB2312"/>
          <w:b/>
          <w:bCs/>
          <w:color w:val="auto"/>
          <w:w w:val="95"/>
          <w:sz w:val="32"/>
          <w:szCs w:val="32"/>
          <w:highlight w:val="none"/>
          <w:lang w:val="en-US" w:eastAsia="zh-CN"/>
        </w:rPr>
        <w:t xml:space="preserve"> </w:t>
      </w:r>
      <w:bookmarkStart w:id="0" w:name="1总述"/>
      <w:bookmarkEnd w:id="0"/>
      <w:bookmarkStart w:id="1" w:name="_bookmark0"/>
      <w:bookmarkEnd w:id="1"/>
      <w:r>
        <w:rPr>
          <w:rFonts w:hint="eastAsia" w:ascii="仿宋_GB2312" w:hAnsi="仿宋_GB2312" w:eastAsia="仿宋_GB2312" w:cs="仿宋_GB2312"/>
          <w:b/>
          <w:bCs/>
          <w:color w:val="auto"/>
          <w:spacing w:val="1"/>
          <w:w w:val="95"/>
          <w:sz w:val="32"/>
          <w:szCs w:val="32"/>
          <w:highlight w:val="none"/>
          <w:lang w:eastAsia="zh-CN"/>
        </w:rPr>
        <w:t>总</w:t>
      </w:r>
      <w:r>
        <w:rPr>
          <w:rFonts w:hint="eastAsia" w:ascii="仿宋_GB2312" w:hAnsi="仿宋_GB2312" w:eastAsia="仿宋_GB2312" w:cs="仿宋_GB2312"/>
          <w:b/>
          <w:bCs/>
          <w:color w:val="auto"/>
          <w:w w:val="95"/>
          <w:sz w:val="32"/>
          <w:szCs w:val="32"/>
          <w:highlight w:val="none"/>
          <w:lang w:eastAsia="zh-CN"/>
        </w:rPr>
        <w:t>则</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eastAsia="zh-CN"/>
        </w:rPr>
      </w:pPr>
      <w:r>
        <w:rPr>
          <w:rFonts w:hint="eastAsia" w:ascii="仿宋_GB2312" w:hAnsi="仿宋_GB2312" w:eastAsia="仿宋_GB2312" w:cs="仿宋_GB2312"/>
          <w:color w:val="auto"/>
          <w:w w:val="95"/>
          <w:sz w:val="32"/>
          <w:szCs w:val="32"/>
          <w:highlight w:val="none"/>
          <w:lang w:eastAsia="zh-CN"/>
        </w:rPr>
        <w:t>1.1 为加快建设完善电力市场体系，</w:t>
      </w:r>
      <w:bookmarkStart w:id="4" w:name="_GoBack"/>
      <w:bookmarkEnd w:id="4"/>
      <w:r>
        <w:rPr>
          <w:rFonts w:hint="eastAsia" w:ascii="仿宋_GB2312" w:hAnsi="仿宋_GB2312" w:eastAsia="仿宋_GB2312" w:cs="仿宋_GB2312"/>
          <w:color w:val="auto"/>
          <w:w w:val="95"/>
          <w:sz w:val="32"/>
          <w:szCs w:val="32"/>
          <w:highlight w:val="none"/>
          <w:lang w:eastAsia="zh-CN"/>
        </w:rPr>
        <w:t>推进广</w:t>
      </w:r>
      <w:r>
        <w:rPr>
          <w:rFonts w:hint="eastAsia" w:ascii="仿宋_GB2312" w:hAnsi="仿宋_GB2312" w:eastAsia="仿宋_GB2312" w:cs="仿宋_GB2312"/>
          <w:color w:val="auto"/>
          <w:w w:val="95"/>
          <w:sz w:val="32"/>
          <w:szCs w:val="32"/>
          <w:highlight w:val="none"/>
          <w:lang w:val="en-US" w:eastAsia="zh-CN"/>
        </w:rPr>
        <w:t>西电力</w:t>
      </w:r>
      <w:r>
        <w:rPr>
          <w:rFonts w:hint="eastAsia" w:ascii="仿宋_GB2312" w:hAnsi="仿宋_GB2312" w:eastAsia="仿宋_GB2312" w:cs="仿宋_GB2312"/>
          <w:color w:val="auto"/>
          <w:w w:val="95"/>
          <w:sz w:val="32"/>
          <w:szCs w:val="32"/>
          <w:highlight w:val="none"/>
          <w:lang w:eastAsia="zh-CN"/>
        </w:rPr>
        <w:t>现货市场建设，建立机组发电成本测算机制，用于发电机组现货市场出清、机组运行补偿、市场力检测及缓解、报价行为评估等环节，依据《南方区域电力市场现货电能量交易实施细则》和有关法律、法规、</w:t>
      </w:r>
      <w:r>
        <w:rPr>
          <w:rFonts w:hint="eastAsia" w:ascii="仿宋_GB2312" w:hAnsi="仿宋_GB2312" w:eastAsia="仿宋_GB2312" w:cs="仿宋_GB2312"/>
          <w:color w:val="auto"/>
          <w:w w:val="95"/>
          <w:sz w:val="32"/>
          <w:szCs w:val="32"/>
          <w:highlight w:val="none"/>
          <w:lang w:val="en-US" w:eastAsia="zh-CN"/>
        </w:rPr>
        <w:t>和规范性文件</w:t>
      </w:r>
      <w:r>
        <w:rPr>
          <w:rFonts w:hint="eastAsia" w:ascii="仿宋_GB2312" w:hAnsi="仿宋_GB2312" w:eastAsia="仿宋_GB2312" w:cs="仿宋_GB2312"/>
          <w:color w:val="auto"/>
          <w:w w:val="95"/>
          <w:sz w:val="32"/>
          <w:szCs w:val="32"/>
          <w:highlight w:val="none"/>
          <w:lang w:eastAsia="zh-CN"/>
        </w:rPr>
        <w:t>规定，制定</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lang w:val="en-US" w:eastAsia="zh-CN"/>
        </w:rPr>
        <w:t>办法</w:t>
      </w:r>
      <w:r>
        <w:rPr>
          <w:rFonts w:hint="eastAsia" w:ascii="仿宋_GB2312" w:hAnsi="仿宋_GB2312" w:eastAsia="仿宋_GB2312" w:cs="仿宋_GB2312"/>
          <w:color w:val="auto"/>
          <w:w w:val="95"/>
          <w:sz w:val="32"/>
          <w:szCs w:val="32"/>
          <w:highlight w:val="none"/>
          <w:lang w:eastAsia="zh-CN"/>
        </w:rPr>
        <w:t>。</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eastAsia="zh-CN"/>
        </w:rPr>
      </w:pPr>
      <w:r>
        <w:rPr>
          <w:rFonts w:hint="eastAsia" w:ascii="仿宋_GB2312" w:hAnsi="仿宋_GB2312" w:eastAsia="仿宋_GB2312" w:cs="仿宋_GB2312"/>
          <w:color w:val="auto"/>
          <w:w w:val="95"/>
          <w:sz w:val="32"/>
          <w:szCs w:val="32"/>
          <w:highlight w:val="none"/>
          <w:lang w:eastAsia="zh-CN"/>
        </w:rPr>
        <w:t>1.</w:t>
      </w:r>
      <w:r>
        <w:rPr>
          <w:rFonts w:hint="eastAsia" w:ascii="仿宋_GB2312" w:hAnsi="仿宋_GB2312" w:eastAsia="仿宋_GB2312" w:cs="仿宋_GB2312"/>
          <w:color w:val="auto"/>
          <w:w w:val="95"/>
          <w:sz w:val="32"/>
          <w:szCs w:val="32"/>
          <w:highlight w:val="none"/>
          <w:lang w:val="en-US" w:eastAsia="zh-CN"/>
        </w:rPr>
        <w:t xml:space="preserve">2 </w:t>
      </w:r>
      <w:r>
        <w:rPr>
          <w:rFonts w:hint="eastAsia" w:ascii="仿宋_GB2312" w:hAnsi="仿宋_GB2312" w:eastAsia="仿宋_GB2312" w:cs="仿宋_GB2312"/>
          <w:color w:val="auto"/>
          <w:w w:val="95"/>
          <w:sz w:val="32"/>
          <w:szCs w:val="32"/>
          <w:highlight w:val="none"/>
          <w:lang w:eastAsia="zh-CN"/>
        </w:rPr>
        <w:t>机组发电成本测算遵循科学合理、公平公正的原则，综合考虑发电机组类型、容量级别、发电能耗、地理位置等因素进行测算。</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eastAsia="zh-CN"/>
        </w:rPr>
      </w:pPr>
      <w:r>
        <w:rPr>
          <w:rFonts w:hint="eastAsia" w:ascii="仿宋_GB2312" w:hAnsi="仿宋_GB2312" w:eastAsia="仿宋_GB2312" w:cs="仿宋_GB2312"/>
          <w:color w:val="auto"/>
          <w:w w:val="95"/>
          <w:sz w:val="32"/>
          <w:szCs w:val="32"/>
          <w:highlight w:val="none"/>
          <w:lang w:eastAsia="zh-CN"/>
        </w:rPr>
        <w:t>1.</w:t>
      </w:r>
      <w:r>
        <w:rPr>
          <w:rFonts w:hint="eastAsia" w:ascii="仿宋_GB2312" w:hAnsi="仿宋_GB2312" w:eastAsia="仿宋_GB2312" w:cs="仿宋_GB2312"/>
          <w:color w:val="auto"/>
          <w:w w:val="95"/>
          <w:sz w:val="32"/>
          <w:szCs w:val="32"/>
          <w:highlight w:val="none"/>
          <w:lang w:val="en-US" w:eastAsia="zh-CN"/>
        </w:rPr>
        <w:t xml:space="preserve">3 </w:t>
      </w:r>
      <w:r>
        <w:rPr>
          <w:rFonts w:hint="eastAsia" w:ascii="仿宋_GB2312" w:hAnsi="仿宋_GB2312" w:eastAsia="仿宋_GB2312" w:cs="仿宋_GB2312"/>
          <w:color w:val="auto"/>
          <w:w w:val="95"/>
          <w:sz w:val="32"/>
          <w:szCs w:val="32"/>
          <w:highlight w:val="none"/>
          <w:lang w:eastAsia="zh-CN"/>
        </w:rPr>
        <w:t>本办法适用于</w:t>
      </w:r>
      <w:r>
        <w:rPr>
          <w:rFonts w:hint="eastAsia" w:ascii="仿宋_GB2312" w:hAnsi="仿宋_GB2312" w:eastAsia="仿宋_GB2312" w:cs="仿宋_GB2312"/>
          <w:color w:val="auto"/>
          <w:w w:val="95"/>
          <w:sz w:val="32"/>
          <w:szCs w:val="32"/>
          <w:highlight w:val="none"/>
          <w:lang w:val="en-US" w:eastAsia="zh-CN"/>
        </w:rPr>
        <w:t>广西电网地市级及以上电力调度机构调管的燃煤（含兴义电厂#2 机组）、燃气发电企业</w:t>
      </w:r>
      <w:r>
        <w:rPr>
          <w:rFonts w:hint="eastAsia" w:ascii="仿宋_GB2312" w:hAnsi="仿宋_GB2312" w:eastAsia="仿宋_GB2312" w:cs="仿宋_GB2312"/>
          <w:color w:val="auto"/>
          <w:w w:val="95"/>
          <w:sz w:val="32"/>
          <w:szCs w:val="32"/>
          <w:highlight w:val="none"/>
          <w:lang w:eastAsia="zh-CN"/>
        </w:rPr>
        <w:t>。</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eastAsia="zh-CN"/>
        </w:rPr>
      </w:pPr>
      <w:r>
        <w:rPr>
          <w:rFonts w:hint="eastAsia" w:ascii="仿宋_GB2312" w:hAnsi="仿宋_GB2312" w:eastAsia="仿宋_GB2312" w:cs="仿宋_GB2312"/>
          <w:color w:val="auto"/>
          <w:w w:val="95"/>
          <w:sz w:val="32"/>
          <w:szCs w:val="32"/>
          <w:highlight w:val="none"/>
          <w:lang w:eastAsia="zh-CN"/>
        </w:rPr>
        <w:t>1.</w:t>
      </w:r>
      <w:r>
        <w:rPr>
          <w:rFonts w:hint="eastAsia" w:ascii="仿宋_GB2312" w:hAnsi="仿宋_GB2312" w:eastAsia="仿宋_GB2312" w:cs="仿宋_GB2312"/>
          <w:color w:val="auto"/>
          <w:w w:val="95"/>
          <w:sz w:val="32"/>
          <w:szCs w:val="32"/>
          <w:highlight w:val="none"/>
          <w:lang w:val="en-US" w:eastAsia="zh-CN"/>
        </w:rPr>
        <w:t xml:space="preserve">4 </w:t>
      </w:r>
      <w:r>
        <w:rPr>
          <w:rFonts w:hint="eastAsia" w:ascii="仿宋_GB2312" w:hAnsi="仿宋_GB2312" w:eastAsia="仿宋_GB2312" w:cs="仿宋_GB2312"/>
          <w:color w:val="auto"/>
          <w:w w:val="95"/>
          <w:sz w:val="32"/>
          <w:szCs w:val="32"/>
          <w:highlight w:val="none"/>
          <w:lang w:eastAsia="zh-CN"/>
        </w:rPr>
        <w:t>机组发电成本的组成部分包括启动成本、变动成本和固定成本。现阶段本办法主要明确启动成本、变动成本的测算方法。</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eastAsia="zh-CN"/>
        </w:rPr>
      </w:pPr>
      <w:r>
        <w:rPr>
          <w:rFonts w:hint="eastAsia" w:ascii="仿宋_GB2312" w:hAnsi="仿宋_GB2312" w:eastAsia="仿宋_GB2312" w:cs="仿宋_GB2312"/>
          <w:color w:val="auto"/>
          <w:w w:val="95"/>
          <w:sz w:val="32"/>
          <w:szCs w:val="32"/>
          <w:highlight w:val="none"/>
          <w:lang w:val="en-US" w:eastAsia="zh-CN"/>
        </w:rPr>
        <w:t>1.4.1</w:t>
      </w:r>
      <w:r>
        <w:rPr>
          <w:rFonts w:hint="eastAsia" w:ascii="仿宋_GB2312" w:hAnsi="仿宋_GB2312" w:eastAsia="仿宋_GB2312" w:cs="仿宋_GB2312"/>
          <w:color w:val="auto"/>
          <w:w w:val="95"/>
          <w:sz w:val="32"/>
          <w:szCs w:val="32"/>
          <w:highlight w:val="none"/>
          <w:lang w:eastAsia="zh-CN"/>
        </w:rPr>
        <w:t>启动成本是指将发电机组从停机状态开机到并网产生的成本。</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eastAsia="zh-CN"/>
        </w:rPr>
      </w:pPr>
      <w:r>
        <w:rPr>
          <w:rFonts w:hint="eastAsia" w:ascii="仿宋_GB2312" w:hAnsi="仿宋_GB2312" w:eastAsia="仿宋_GB2312" w:cs="仿宋_GB2312"/>
          <w:color w:val="auto"/>
          <w:w w:val="95"/>
          <w:sz w:val="32"/>
          <w:szCs w:val="32"/>
          <w:highlight w:val="none"/>
          <w:lang w:val="en-US" w:eastAsia="zh-CN"/>
        </w:rPr>
        <w:t>1.4.2</w:t>
      </w:r>
      <w:r>
        <w:rPr>
          <w:rFonts w:hint="eastAsia" w:ascii="仿宋_GB2312" w:hAnsi="仿宋_GB2312" w:eastAsia="仿宋_GB2312" w:cs="仿宋_GB2312"/>
          <w:color w:val="auto"/>
          <w:w w:val="95"/>
          <w:sz w:val="32"/>
          <w:szCs w:val="32"/>
          <w:highlight w:val="none"/>
          <w:lang w:eastAsia="zh-CN"/>
        </w:rPr>
        <w:t>变动成本即燃料成本，包括以下三类：</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eastAsia="zh-CN"/>
        </w:rPr>
      </w:pPr>
      <w:r>
        <w:rPr>
          <w:rFonts w:hint="eastAsia" w:ascii="仿宋_GB2312" w:hAnsi="仿宋_GB2312" w:eastAsia="仿宋_GB2312" w:cs="仿宋_GB2312"/>
          <w:color w:val="auto"/>
          <w:w w:val="95"/>
          <w:sz w:val="32"/>
          <w:szCs w:val="32"/>
          <w:highlight w:val="none"/>
          <w:lang w:val="en-US" w:eastAsia="zh-CN"/>
        </w:rPr>
        <w:t>1.4</w:t>
      </w:r>
      <w:r>
        <w:rPr>
          <w:rFonts w:hint="eastAsia" w:ascii="仿宋_GB2312" w:hAnsi="仿宋_GB2312" w:eastAsia="仿宋_GB2312" w:cs="仿宋_GB2312"/>
          <w:color w:val="auto"/>
          <w:w w:val="95"/>
          <w:sz w:val="32"/>
          <w:szCs w:val="32"/>
          <w:highlight w:val="none"/>
          <w:lang w:eastAsia="zh-CN"/>
        </w:rPr>
        <w:t>.</w:t>
      </w:r>
      <w:r>
        <w:rPr>
          <w:rFonts w:hint="eastAsia" w:ascii="仿宋_GB2312" w:hAnsi="仿宋_GB2312" w:eastAsia="仿宋_GB2312" w:cs="仿宋_GB2312"/>
          <w:color w:val="auto"/>
          <w:w w:val="95"/>
          <w:sz w:val="32"/>
          <w:szCs w:val="32"/>
          <w:highlight w:val="none"/>
          <w:lang w:val="en-US" w:eastAsia="zh-CN"/>
        </w:rPr>
        <w:t>2.1</w:t>
      </w:r>
      <w:r>
        <w:rPr>
          <w:rFonts w:hint="eastAsia" w:ascii="仿宋_GB2312" w:hAnsi="仿宋_GB2312" w:eastAsia="仿宋_GB2312" w:cs="仿宋_GB2312"/>
          <w:color w:val="auto"/>
          <w:w w:val="95"/>
          <w:sz w:val="32"/>
          <w:szCs w:val="32"/>
          <w:highlight w:val="none"/>
          <w:lang w:eastAsia="zh-CN"/>
        </w:rPr>
        <w:t>平均发电成本，又称为度电燃料成本，即生产单位电能量所消耗的平均燃料成本。</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eastAsia="zh-CN"/>
        </w:rPr>
      </w:pPr>
      <w:r>
        <w:rPr>
          <w:rFonts w:hint="eastAsia" w:ascii="仿宋_GB2312" w:hAnsi="仿宋_GB2312" w:eastAsia="仿宋_GB2312" w:cs="仿宋_GB2312"/>
          <w:color w:val="auto"/>
          <w:w w:val="95"/>
          <w:sz w:val="32"/>
          <w:szCs w:val="32"/>
          <w:highlight w:val="none"/>
          <w:lang w:val="en-US" w:eastAsia="zh-CN"/>
        </w:rPr>
        <w:t>1.4.2.2</w:t>
      </w:r>
      <w:r>
        <w:rPr>
          <w:rFonts w:hint="eastAsia" w:ascii="仿宋_GB2312" w:hAnsi="仿宋_GB2312" w:eastAsia="仿宋_GB2312" w:cs="仿宋_GB2312"/>
          <w:color w:val="auto"/>
          <w:w w:val="95"/>
          <w:sz w:val="32"/>
          <w:szCs w:val="32"/>
          <w:highlight w:val="none"/>
          <w:lang w:eastAsia="zh-CN"/>
        </w:rPr>
        <w:t>最小稳定技术出力成本，即发电机组运行在最小稳定技术出力单位时间所消耗的燃料成本。</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eastAsia="zh-CN"/>
        </w:rPr>
      </w:pPr>
      <w:r>
        <w:rPr>
          <w:rFonts w:hint="eastAsia" w:ascii="仿宋_GB2312" w:hAnsi="仿宋_GB2312" w:eastAsia="仿宋_GB2312" w:cs="仿宋_GB2312"/>
          <w:color w:val="auto"/>
          <w:w w:val="95"/>
          <w:sz w:val="32"/>
          <w:szCs w:val="32"/>
          <w:highlight w:val="none"/>
          <w:lang w:val="en-US" w:eastAsia="zh-CN"/>
        </w:rPr>
        <w:t>1.4.2.3</w:t>
      </w:r>
      <w:r>
        <w:rPr>
          <w:rFonts w:hint="eastAsia" w:ascii="仿宋_GB2312" w:hAnsi="仿宋_GB2312" w:eastAsia="仿宋_GB2312" w:cs="仿宋_GB2312"/>
          <w:color w:val="auto"/>
          <w:w w:val="95"/>
          <w:sz w:val="32"/>
          <w:szCs w:val="32"/>
          <w:highlight w:val="none"/>
          <w:lang w:eastAsia="zh-CN"/>
        </w:rPr>
        <w:t>边际燃料成本，即发电机组在一定出力水平增加单位出力所需增加的燃料成本。</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1.5 广西壮族自治区工业与信息化厅会同广西壮族自治区发展和改革委员会、国家能源局南方监管局指导开展机组发电成本测算工作。广西电力交易中心会同广西电力调度中心等单位依据本办法开展测算，按规定管理和适应测算数据。相关发电企业按照本办法规定提供数据，并对数据的真实性和准确性负责。</w:t>
      </w:r>
    </w:p>
    <w:p>
      <w:pPr>
        <w:pStyle w:val="3"/>
        <w:tabs>
          <w:tab w:val="left" w:pos="659"/>
        </w:tabs>
        <w:spacing w:line="580" w:lineRule="exact"/>
        <w:ind w:left="0" w:firstLine="611" w:firstLineChars="200"/>
        <w:outlineLvl w:val="0"/>
        <w:rPr>
          <w:rFonts w:hint="eastAsia" w:ascii="仿宋_GB2312" w:hAnsi="仿宋_GB2312" w:eastAsia="仿宋_GB2312" w:cs="仿宋_GB2312"/>
          <w:color w:val="auto"/>
          <w:w w:val="95"/>
          <w:sz w:val="32"/>
          <w:szCs w:val="32"/>
          <w:highlight w:val="none"/>
          <w:lang w:eastAsia="zh-CN"/>
        </w:rPr>
      </w:pPr>
      <w:r>
        <w:rPr>
          <w:rFonts w:hint="eastAsia" w:ascii="仿宋_GB2312" w:hAnsi="仿宋_GB2312" w:eastAsia="仿宋_GB2312" w:cs="仿宋_GB2312"/>
          <w:b/>
          <w:bCs/>
          <w:color w:val="auto"/>
          <w:w w:val="95"/>
          <w:sz w:val="32"/>
          <w:szCs w:val="32"/>
          <w:highlight w:val="none"/>
          <w:lang w:eastAsia="zh-CN"/>
        </w:rPr>
        <w:t>2</w:t>
      </w:r>
      <w:r>
        <w:rPr>
          <w:rFonts w:hint="eastAsia" w:ascii="仿宋_GB2312" w:hAnsi="仿宋_GB2312" w:eastAsia="仿宋_GB2312" w:cs="仿宋_GB2312"/>
          <w:b/>
          <w:bCs/>
          <w:color w:val="auto"/>
          <w:w w:val="95"/>
          <w:sz w:val="32"/>
          <w:szCs w:val="32"/>
          <w:highlight w:val="none"/>
          <w:lang w:val="en-US" w:eastAsia="zh-CN"/>
        </w:rPr>
        <w:t xml:space="preserve"> </w:t>
      </w:r>
      <w:bookmarkStart w:id="2" w:name="_bookmark3"/>
      <w:bookmarkEnd w:id="2"/>
      <w:bookmarkStart w:id="3" w:name="4市场主体"/>
      <w:bookmarkEnd w:id="3"/>
      <w:r>
        <w:rPr>
          <w:rFonts w:hint="eastAsia" w:ascii="仿宋_GB2312" w:hAnsi="仿宋_GB2312" w:eastAsia="仿宋_GB2312" w:cs="仿宋_GB2312"/>
          <w:b/>
          <w:bCs/>
          <w:color w:val="auto"/>
          <w:spacing w:val="1"/>
          <w:w w:val="95"/>
          <w:sz w:val="32"/>
          <w:szCs w:val="32"/>
          <w:highlight w:val="none"/>
          <w:lang w:eastAsia="zh-CN"/>
        </w:rPr>
        <w:t>启动成本</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2.1机组启动成本用于现货市场出清和机组运行补偿费用计算等。根据核定的各类型机组启动成本设定启动费用申报上下限值，发电企业在该限值范围内自主申报启动费用；上下限值在市场参数表中确定并根据实际情况调整。机组实际开机情况以调度机构提供的实际开停机时间作为判定依据。</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2.2根据燃煤机组和燃气机组的停机时长分别确定其启动工况标准。</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2.2.1燃煤机组的启动工况标准：停机时间 10 小时以内为热态启动，停机时间 10 小时（含）至 72 小时（含）为温态启动，停机时间 72 小时以上为冷态启动。</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2.2.2燃气机组的启动工况标准：停机时间 24 小时以内为热态启动，停机时间 24 小时（含）至 72 小时（含）为温态启动，停机时间 72 小时以上为冷态启动。</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2.3根据机组类型、单机容量、单次启动耗煤（气）量、耗油量及厂用电量、制水费、蒸汽费等情况核定各类型机组启动成本。</w:t>
      </w:r>
    </w:p>
    <w:p>
      <w:pPr>
        <w:pStyle w:val="3"/>
        <w:tabs>
          <w:tab w:val="left" w:pos="659"/>
        </w:tabs>
        <w:spacing w:line="580" w:lineRule="exact"/>
        <w:ind w:left="0" w:firstLine="611" w:firstLineChars="200"/>
        <w:outlineLvl w:val="0"/>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b/>
          <w:bCs/>
          <w:color w:val="auto"/>
          <w:w w:val="95"/>
          <w:sz w:val="32"/>
          <w:szCs w:val="32"/>
          <w:highlight w:val="none"/>
          <w:lang w:val="en-US" w:eastAsia="zh-CN"/>
        </w:rPr>
        <w:t>3变动成本</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3.1 度电燃料成本用于计算发电机组在现货市场中的运行补偿费用、日内非计划电能量偏差收益等数据。</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机组最小稳定技术出力费用用于现货市场出清和机组运行补偿费用计算等。根据机组类型、最小稳定技术出力等情况核定各机组最小稳定技术出力成本，根据该成本设定最小稳定技术出力费用的申报上下限值，发电企业在该限值范围内自主申报最小稳定技术出力费用；上下限值在市场参数表中确定并根据实际情况调整。</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边际燃料成本用于市场力检测及缓解、报价行为评估等环节。</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3.2特殊月份。当月运行结束后，同时满足以下两项触发条件时，定义为特殊月份。</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3.2.1当月至少有 1 天处于全区电力供应预警生效期内。</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3.2.2当月中国沿海电煤采购价格指数（以下简称CECI沿海指数）成交价均值比综合价均值高50元/吨及以上。</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3.3 CECI沿海指数。包括综合价、成交价等多个指数。若当月某期CECI沿海指数综合价及成交价均未发布，则该期CECI沿海指数认定为停发。</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3.4燃煤机组的度电燃料成本按以下规则测算：</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3.4.1根据电厂所在地理位置，分为内陆电厂和沿海电厂两类。每个类别根据单机容量，暂分为3个等级，即100万千瓦、60万千瓦、30万千瓦。</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3.4.2度电燃料成本的计算公式为：</w:t>
      </w:r>
    </w:p>
    <w:p>
      <w:pPr>
        <w:pStyle w:val="3"/>
        <w:spacing w:before="0" w:line="580" w:lineRule="exact"/>
        <w:ind w:left="0" w:right="0" w:firstLine="608" w:firstLineChars="200"/>
        <w:jc w:val="both"/>
        <w:rPr>
          <w:rFonts w:hint="default" w:ascii="仿宋_GB2312" w:hAnsi="仿宋_GB2312" w:eastAsia="仿宋_GB2312" w:cs="仿宋_GB2312"/>
          <w:color w:val="auto"/>
          <w:w w:val="95"/>
          <w:sz w:val="32"/>
          <w:szCs w:val="32"/>
          <w:highlight w:val="none"/>
          <w:vertAlign w:val="subscript"/>
          <w:lang w:val="en-US" w:eastAsia="zh-CN"/>
        </w:rPr>
      </w:pPr>
      <w:r>
        <w:rPr>
          <w:rFonts w:hint="eastAsia" w:ascii="仿宋_GB2312" w:hAnsi="仿宋_GB2312" w:eastAsia="仿宋_GB2312" w:cs="仿宋_GB2312"/>
          <w:color w:val="auto"/>
          <w:w w:val="95"/>
          <w:sz w:val="32"/>
          <w:szCs w:val="32"/>
          <w:highlight w:val="none"/>
          <w:lang w:val="en-US" w:eastAsia="zh-CN"/>
        </w:rPr>
        <w:t>度电燃料成本=供电标煤耗×到厂燃煤价格×j</w:t>
      </w:r>
      <w:r>
        <w:rPr>
          <w:rFonts w:hint="eastAsia" w:ascii="仿宋_GB2312" w:hAnsi="仿宋_GB2312" w:eastAsia="仿宋_GB2312" w:cs="仿宋_GB2312"/>
          <w:color w:val="auto"/>
          <w:w w:val="95"/>
          <w:sz w:val="32"/>
          <w:szCs w:val="32"/>
          <w:highlight w:val="none"/>
          <w:vertAlign w:val="subscript"/>
          <w:lang w:val="en-US" w:eastAsia="zh-CN"/>
        </w:rPr>
        <w:t xml:space="preserve">1  </w:t>
      </w:r>
      <w:r>
        <w:rPr>
          <w:rFonts w:hint="eastAsia" w:ascii="仿宋_GB2312" w:hAnsi="仿宋_GB2312" w:eastAsia="仿宋_GB2312" w:cs="仿宋_GB2312"/>
          <w:color w:val="auto"/>
          <w:w w:val="95"/>
          <w:sz w:val="32"/>
          <w:szCs w:val="32"/>
          <w:highlight w:val="none"/>
          <w:vertAlign w:val="baseline"/>
          <w:lang w:val="en-US" w:eastAsia="zh-CN"/>
        </w:rPr>
        <w:t>。</w:t>
      </w:r>
    </w:p>
    <w:p>
      <w:pPr>
        <w:pStyle w:val="3"/>
        <w:spacing w:before="0" w:line="580" w:lineRule="exact"/>
        <w:ind w:left="0" w:right="0" w:firstLine="608" w:firstLineChars="200"/>
        <w:jc w:val="both"/>
        <w:rPr>
          <w:rFonts w:hint="eastAsia"/>
          <w:color w:val="auto"/>
          <w:lang w:val="en-US" w:eastAsia="zh-CN"/>
        </w:rPr>
      </w:pPr>
      <w:r>
        <w:rPr>
          <w:rFonts w:hint="eastAsia" w:ascii="仿宋_GB2312" w:hAnsi="仿宋_GB2312" w:eastAsia="仿宋_GB2312" w:cs="仿宋_GB2312"/>
          <w:color w:val="auto"/>
          <w:w w:val="95"/>
          <w:sz w:val="32"/>
          <w:szCs w:val="32"/>
          <w:highlight w:val="none"/>
          <w:lang w:val="en-US" w:eastAsia="zh-CN"/>
        </w:rPr>
        <w:t>j</w:t>
      </w:r>
      <w:r>
        <w:rPr>
          <w:rFonts w:hint="eastAsia" w:ascii="仿宋_GB2312" w:hAnsi="仿宋_GB2312" w:eastAsia="仿宋_GB2312" w:cs="仿宋_GB2312"/>
          <w:color w:val="auto"/>
          <w:w w:val="95"/>
          <w:sz w:val="32"/>
          <w:szCs w:val="32"/>
          <w:highlight w:val="none"/>
          <w:vertAlign w:val="subscript"/>
          <w:lang w:val="en-US" w:eastAsia="zh-CN"/>
        </w:rPr>
        <w:t>1</w:t>
      </w:r>
      <w:r>
        <w:rPr>
          <w:rFonts w:hint="eastAsia" w:ascii="仿宋_GB2312" w:hAnsi="仿宋_GB2312" w:eastAsia="仿宋_GB2312" w:cs="仿宋_GB2312"/>
          <w:color w:val="auto"/>
          <w:w w:val="95"/>
          <w:sz w:val="32"/>
          <w:szCs w:val="32"/>
          <w:highlight w:val="none"/>
          <w:lang w:val="en-US" w:eastAsia="zh-CN"/>
        </w:rPr>
        <w:t xml:space="preserve"> 为燃煤机组度电燃料成本计算参数，结合实际调整。</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3.4.2.1供电标煤耗计算公式为：</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供电标煤耗=发电标煤耗×煤耗比率÷（1-厂用电率）。</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其中，发电标煤耗按照各燃煤电厂上报政府主管部门，经政府主管部门发布的数据确定，同一类型等级的机组煤耗按照装机容量加权得到该类型等级机组的平均发电标煤耗；煤耗比率指机组实际运行煤耗较政府发布煤耗的比值。</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3.4.2.2若当月CECI沿海指数停发不满三期，到厂燃煤价格主要根据中国沿海电煤采购价格指数（CECI沿海指数-综合价）、中国沿海煤炭运价指数、内陆运价等因素确定：</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沿海电厂到厂燃煤价格=（沿海电煤采购价格指数+沿海煤炭运价指数）×7000/5500</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内陆电厂到厂燃煤价格=（沿海电煤采购价格指数+沿海煤炭运价指数+内陆运价）×7000/5500</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沿海煤炭运价指数=当月上海航运交易所发布的秦皇岛-广州（6-7万DWT）数据的平均值×j</w:t>
      </w:r>
      <w:r>
        <w:rPr>
          <w:rFonts w:hint="eastAsia" w:ascii="仿宋_GB2312" w:hAnsi="仿宋_GB2312" w:eastAsia="仿宋_GB2312" w:cs="仿宋_GB2312"/>
          <w:color w:val="auto"/>
          <w:w w:val="95"/>
          <w:sz w:val="32"/>
          <w:szCs w:val="32"/>
          <w:highlight w:val="none"/>
          <w:vertAlign w:val="subscript"/>
          <w:lang w:val="en-US" w:eastAsia="zh-CN"/>
        </w:rPr>
        <w:t xml:space="preserve">2 </w:t>
      </w:r>
      <w:r>
        <w:rPr>
          <w:rFonts w:hint="eastAsia" w:ascii="仿宋_GB2312" w:hAnsi="仿宋_GB2312" w:eastAsia="仿宋_GB2312" w:cs="仿宋_GB2312"/>
          <w:color w:val="auto"/>
          <w:w w:val="95"/>
          <w:sz w:val="32"/>
          <w:szCs w:val="32"/>
          <w:highlight w:val="none"/>
          <w:vertAlign w:val="baseline"/>
          <w:lang w:val="en-US" w:eastAsia="zh-CN"/>
        </w:rPr>
        <w:t>，</w:t>
      </w:r>
      <w:r>
        <w:rPr>
          <w:rFonts w:hint="eastAsia" w:ascii="仿宋_GB2312" w:hAnsi="仿宋_GB2312" w:eastAsia="仿宋_GB2312" w:cs="仿宋_GB2312"/>
          <w:color w:val="auto"/>
          <w:w w:val="95"/>
          <w:sz w:val="32"/>
          <w:szCs w:val="32"/>
          <w:highlight w:val="none"/>
          <w:lang w:val="en-US" w:eastAsia="zh-CN"/>
        </w:rPr>
        <w:t>j</w:t>
      </w:r>
      <w:r>
        <w:rPr>
          <w:rFonts w:hint="eastAsia" w:ascii="仿宋_GB2312" w:hAnsi="仿宋_GB2312" w:eastAsia="仿宋_GB2312" w:cs="仿宋_GB2312"/>
          <w:color w:val="auto"/>
          <w:w w:val="95"/>
          <w:sz w:val="32"/>
          <w:szCs w:val="32"/>
          <w:highlight w:val="none"/>
          <w:vertAlign w:val="subscript"/>
          <w:lang w:val="en-US" w:eastAsia="zh-CN"/>
        </w:rPr>
        <w:t>2</w:t>
      </w:r>
      <w:r>
        <w:rPr>
          <w:rFonts w:hint="eastAsia" w:ascii="仿宋_GB2312" w:hAnsi="仿宋_GB2312" w:eastAsia="仿宋_GB2312" w:cs="仿宋_GB2312"/>
          <w:color w:val="auto"/>
          <w:w w:val="95"/>
          <w:sz w:val="32"/>
          <w:szCs w:val="32"/>
          <w:highlight w:val="none"/>
          <w:lang w:val="en-US" w:eastAsia="zh-CN"/>
        </w:rPr>
        <w:t>为广州到防城港增加的运价计算参数，结合实际调整。</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根据当月是否为特殊月份，中国沿海电煤采购价格指数采用不同的计算方法：</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3.4.2.2.1若为非特殊月份，中国沿海电煤采购价格指数取值为当月中国电力企业联合会官方网站发布的CECI沿海指数综合价平均值。</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3.4.2.2.2若为特殊月份，中国沿海电煤采购价格指数取值为当月发布的CECI沿海指数综合价与成交价的算术平均值。其中若当月某期CECI沿海指数综合价正常发布而成交价未发布，则以该期时间范围内的国煤下水动力煤价格指数代替该期 CECI 成交价；若国煤下水动力煤价格指数也未发布，则取最近一次发布的CECI成交价作为该期成交价。</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3.4.2.3若当月CECI沿海指数停发三期及以上，则采用当月国煤下水动力煤价格指数计算到厂燃煤价格。若当月国煤下水动力煤价格指数停发超过十期，则取最后一期CECI沿海指数综合价和国煤下水动力煤价格指数的算数平均值计算到厂燃煤价格。</w:t>
      </w:r>
    </w:p>
    <w:p>
      <w:pPr>
        <w:pStyle w:val="3"/>
        <w:spacing w:before="0" w:line="580" w:lineRule="exact"/>
        <w:ind w:left="0" w:right="0" w:firstLine="608" w:firstLineChars="200"/>
        <w:jc w:val="both"/>
        <w:rPr>
          <w:rFonts w:hint="eastAsia"/>
          <w:color w:val="auto"/>
          <w:lang w:val="en-US" w:eastAsia="zh-CN"/>
        </w:rPr>
      </w:pPr>
      <w:r>
        <w:rPr>
          <w:rFonts w:hint="eastAsia" w:ascii="仿宋_GB2312" w:hAnsi="仿宋_GB2312" w:eastAsia="仿宋_GB2312" w:cs="仿宋_GB2312"/>
          <w:color w:val="auto"/>
          <w:w w:val="95"/>
          <w:sz w:val="32"/>
          <w:szCs w:val="32"/>
          <w:highlight w:val="none"/>
          <w:lang w:val="en-US" w:eastAsia="zh-CN"/>
        </w:rPr>
        <w:t>3.5 燃气机组度电燃料成本按以下规则测算：</w:t>
      </w:r>
    </w:p>
    <w:p>
      <w:pPr>
        <w:pStyle w:val="3"/>
        <w:spacing w:before="0" w:line="580" w:lineRule="exact"/>
        <w:ind w:left="0" w:right="0" w:firstLine="608" w:firstLineChars="200"/>
        <w:jc w:val="both"/>
        <w:rPr>
          <w:rFonts w:hint="default" w:ascii="仿宋_GB2312" w:hAnsi="仿宋_GB2312" w:eastAsia="仿宋_GB2312" w:cs="仿宋_GB2312"/>
          <w:color w:val="auto"/>
          <w:w w:val="95"/>
          <w:sz w:val="32"/>
          <w:szCs w:val="32"/>
          <w:highlight w:val="none"/>
          <w:vertAlign w:val="baseline"/>
          <w:lang w:val="en-US" w:eastAsia="zh-CN"/>
        </w:rPr>
      </w:pPr>
      <w:r>
        <w:rPr>
          <w:rFonts w:hint="eastAsia" w:ascii="仿宋_GB2312" w:hAnsi="仿宋_GB2312" w:eastAsia="仿宋_GB2312" w:cs="仿宋_GB2312"/>
          <w:color w:val="auto"/>
          <w:w w:val="95"/>
          <w:sz w:val="32"/>
          <w:szCs w:val="32"/>
          <w:highlight w:val="none"/>
          <w:lang w:val="en-US" w:eastAsia="zh-CN"/>
        </w:rPr>
        <w:t>度电燃料成本=上网能耗×到厂气源价格×税率系数×j</w:t>
      </w:r>
      <w:r>
        <w:rPr>
          <w:rFonts w:hint="eastAsia" w:ascii="仿宋_GB2312" w:hAnsi="仿宋_GB2312" w:eastAsia="仿宋_GB2312" w:cs="仿宋_GB2312"/>
          <w:color w:val="auto"/>
          <w:w w:val="95"/>
          <w:sz w:val="32"/>
          <w:szCs w:val="32"/>
          <w:highlight w:val="none"/>
          <w:vertAlign w:val="subscript"/>
          <w:lang w:val="en-US" w:eastAsia="zh-CN"/>
        </w:rPr>
        <w:t xml:space="preserve">3 </w:t>
      </w:r>
      <w:r>
        <w:rPr>
          <w:rFonts w:hint="eastAsia" w:ascii="仿宋_GB2312" w:hAnsi="仿宋_GB2312" w:eastAsia="仿宋_GB2312" w:cs="仿宋_GB2312"/>
          <w:color w:val="auto"/>
          <w:w w:val="95"/>
          <w:sz w:val="32"/>
          <w:szCs w:val="32"/>
          <w:highlight w:val="none"/>
          <w:vertAlign w:val="baseline"/>
          <w:lang w:val="en-US" w:eastAsia="zh-CN"/>
        </w:rPr>
        <w:t>。</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j</w:t>
      </w:r>
      <w:r>
        <w:rPr>
          <w:rFonts w:hint="eastAsia" w:ascii="仿宋_GB2312" w:hAnsi="仿宋_GB2312" w:eastAsia="仿宋_GB2312" w:cs="仿宋_GB2312"/>
          <w:color w:val="auto"/>
          <w:w w:val="95"/>
          <w:sz w:val="32"/>
          <w:szCs w:val="32"/>
          <w:highlight w:val="none"/>
          <w:vertAlign w:val="subscript"/>
          <w:lang w:val="en-US" w:eastAsia="zh-CN"/>
        </w:rPr>
        <w:t>3</w:t>
      </w:r>
      <w:r>
        <w:rPr>
          <w:rFonts w:hint="eastAsia" w:ascii="仿宋_GB2312" w:hAnsi="仿宋_GB2312" w:eastAsia="仿宋_GB2312" w:cs="仿宋_GB2312"/>
          <w:color w:val="auto"/>
          <w:w w:val="95"/>
          <w:sz w:val="32"/>
          <w:szCs w:val="32"/>
          <w:highlight w:val="none"/>
          <w:lang w:val="en-US" w:eastAsia="zh-CN"/>
        </w:rPr>
        <w:t>为燃气机组度电燃料成本计算参数，结合实际调整。</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上网能耗=发电能耗×能耗比率÷（1-厂用电率）。</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其中：发电能耗按照各燃气电厂上报政府主管部门，经政府主管部门发布的数据确定；燃气机组作为一类，机组能耗按照装机容量加权得到平均发电能耗，能耗比率指机组实际运行能耗较政府发布能耗的比值。到厂气源价格参考到广西门站价确定：</w:t>
      </w:r>
    </w:p>
    <w:p>
      <w:pPr>
        <w:pStyle w:val="3"/>
        <w:spacing w:before="0" w:line="580" w:lineRule="exact"/>
        <w:ind w:left="0" w:right="0" w:firstLine="608" w:firstLineChars="200"/>
        <w:jc w:val="both"/>
        <w:rPr>
          <w:rFonts w:hint="default" w:ascii="仿宋_GB2312" w:hAnsi="仿宋_GB2312" w:eastAsia="仿宋_GB2312" w:cs="仿宋_GB2312"/>
          <w:color w:val="auto"/>
          <w:w w:val="95"/>
          <w:kern w:val="2"/>
          <w:sz w:val="32"/>
          <w:szCs w:val="32"/>
          <w:highlight w:val="none"/>
          <w:lang w:val="en-US" w:eastAsia="zh-CN" w:bidi="ar-SA"/>
        </w:rPr>
      </w:pPr>
      <w:r>
        <w:rPr>
          <w:rFonts w:hint="eastAsia" w:ascii="仿宋_GB2312" w:hAnsi="仿宋_GB2312" w:eastAsia="仿宋_GB2312" w:cs="仿宋_GB2312"/>
          <w:color w:val="auto"/>
          <w:w w:val="95"/>
          <w:kern w:val="2"/>
          <w:sz w:val="32"/>
          <w:szCs w:val="32"/>
          <w:highlight w:val="none"/>
          <w:lang w:val="en-US" w:eastAsia="zh-CN" w:bidi="ar-SA"/>
        </w:rPr>
        <w:t>到厂气源价格（元/GJ）=[到广西门站价格×（1+天然气价格浮动比例j</w:t>
      </w:r>
      <w:r>
        <w:rPr>
          <w:rFonts w:hint="eastAsia" w:ascii="仿宋_GB2312" w:hAnsi="仿宋_GB2312" w:eastAsia="仿宋_GB2312" w:cs="仿宋_GB2312"/>
          <w:color w:val="auto"/>
          <w:w w:val="95"/>
          <w:kern w:val="2"/>
          <w:sz w:val="32"/>
          <w:szCs w:val="32"/>
          <w:highlight w:val="none"/>
          <w:vertAlign w:val="subscript"/>
          <w:lang w:val="en-US" w:eastAsia="zh-CN" w:bidi="ar-SA"/>
        </w:rPr>
        <w:t>4</w:t>
      </w:r>
      <w:r>
        <w:rPr>
          <w:rFonts w:hint="eastAsia" w:ascii="仿宋_GB2312" w:hAnsi="仿宋_GB2312" w:eastAsia="仿宋_GB2312" w:cs="仿宋_GB2312"/>
          <w:color w:val="auto"/>
          <w:w w:val="95"/>
          <w:kern w:val="2"/>
          <w:sz w:val="32"/>
          <w:szCs w:val="32"/>
          <w:highlight w:val="none"/>
          <w:lang w:val="en-US" w:eastAsia="zh-CN" w:bidi="ar-SA"/>
        </w:rPr>
        <w:t xml:space="preserve">）+管网费用单价]÷低位热值×1000 </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3.6 发电企业按以下方法开展机组发电能耗曲线实测。按照容量等级和技术特性，将燃煤机组分为三类：常规100万机组、常规60万机组、常规30万机组；燃气机组作为一类。按照上述分类标准分别对各类型机组进行平均发电能耗实测。后续根据实际情况对机组分类进行完善。</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相关发电企业提供各机组实测能耗数据，需提供最近三年内的、具备合格检测资质的第三方检测机构出具的性能试验报告。各发电企业需对提交能耗曲线实测数据的真实性和准确性负责，如发现数据异常等情况，由政府主管部门组织开展调查，数据异常等情况属实时将开展约谈，并督促整改。受委托参与机组能耗曲线实测相关工作的第三方检测机构应坚持客观独立、公平、公正原则，不徇私舞弊，严禁篡改数据。</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原则上，各台发电机组的实测能耗数据每年允许更新一次。新进入市场的或技术改造后的机组需更新能耗数据，应提交最新版的实测能耗数据及相关性能试验报告。</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3.7根据政府主管部门发布的发电能耗数据，对实测平均发电能耗数据进行修正。将实测试验报告中提供的机组额定负荷（即额定出力，下同）实测平均发电能耗数据（负荷MW及对应的煤耗kg/MWh 或热耗 MJ/MWh）与政府发布的能耗数据取加权平均值，政府发布能耗加权权重为j</w:t>
      </w:r>
      <w:r>
        <w:rPr>
          <w:rFonts w:hint="eastAsia" w:ascii="仿宋_GB2312" w:hAnsi="仿宋_GB2312" w:eastAsia="仿宋_GB2312" w:cs="仿宋_GB2312"/>
          <w:color w:val="auto"/>
          <w:w w:val="95"/>
          <w:sz w:val="32"/>
          <w:szCs w:val="32"/>
          <w:highlight w:val="none"/>
          <w:vertAlign w:val="subscript"/>
          <w:lang w:val="en-US" w:eastAsia="zh-CN"/>
        </w:rPr>
        <w:t>5</w:t>
      </w:r>
      <w:r>
        <w:rPr>
          <w:rFonts w:hint="eastAsia" w:ascii="仿宋_GB2312" w:hAnsi="仿宋_GB2312" w:eastAsia="仿宋_GB2312" w:cs="仿宋_GB2312"/>
          <w:color w:val="auto"/>
          <w:w w:val="95"/>
          <w:sz w:val="32"/>
          <w:szCs w:val="32"/>
          <w:highlight w:val="none"/>
          <w:lang w:val="en-US" w:eastAsia="zh-CN"/>
        </w:rPr>
        <w:t>，实测能耗加权权重为j</w:t>
      </w:r>
      <w:r>
        <w:rPr>
          <w:rFonts w:hint="eastAsia" w:ascii="仿宋_GB2312" w:hAnsi="仿宋_GB2312" w:eastAsia="仿宋_GB2312" w:cs="仿宋_GB2312"/>
          <w:color w:val="auto"/>
          <w:w w:val="95"/>
          <w:sz w:val="32"/>
          <w:szCs w:val="32"/>
          <w:highlight w:val="none"/>
          <w:vertAlign w:val="subscript"/>
          <w:lang w:val="en-US" w:eastAsia="zh-CN"/>
        </w:rPr>
        <w:t>6</w:t>
      </w:r>
      <w:r>
        <w:rPr>
          <w:rFonts w:hint="eastAsia" w:ascii="仿宋_GB2312" w:hAnsi="仿宋_GB2312" w:eastAsia="仿宋_GB2312" w:cs="仿宋_GB2312"/>
          <w:color w:val="auto"/>
          <w:w w:val="95"/>
          <w:sz w:val="32"/>
          <w:szCs w:val="32"/>
          <w:highlight w:val="none"/>
          <w:lang w:val="en-US" w:eastAsia="zh-CN"/>
        </w:rPr>
        <w:t>。根据该加权平均值与机组额定负荷点的实测平均发电能耗之差，将机组其余负荷点的实测平均发电能耗做相应的等幅调整，得到综合平均发电能耗数据。根据综合平均发电能耗数据，计算机组最小稳定技术出力燃料消耗以及不同出力水平下的边际燃料消耗，最后结合燃料价格计算最小稳定技术出力成本和边际燃料成本。</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3.8最小稳定技术出力成本的具体测算方法如下：</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3.8.1现阶段，将同类型机组在最小稳定技术出力的综合平均发电能耗按装机容量加权平均，得到该类型机组在最小稳定技术出力的综合平均发电能耗。</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3.8.2将该类型机组在最小稳定技术出力的综合平均发电能耗分别乘以各机组的最小稳定技术出力，得到各机组的最小稳定技术出力燃料消耗（kg 标煤/h 或 MJ/h）。</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3.8.3根据最小稳定技术出力燃料消耗，结合燃料价格， 计算最小稳定技术出力成本。</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3.8.3.1对燃煤机组，最小稳定技术出力成本=最小稳定技术出力燃料消耗÷发电标煤耗×度电燃料成本，其中度电燃料成本、发电标煤耗根据本办法3.3确定。</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3.8.3.2对燃气机组，最小稳定技术出力成本=最小稳定技术出力燃料消耗÷发电能耗×度电燃料成本，其中度电燃料成本、发电能耗根据本办法3.4点确定。</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3.9边际燃料成本的具体测算方法如下：</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3.9.1获取机组综合平均发电能耗数据，即在不同出力水平（MW）下生产单位电能量所消耗的平均燃料（kg/MWh 或 MJ/MWh），其中必须包含最小技术出力、额定出力两个负荷点的数据。</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3.9.2将机组综合平均发电能耗值分别乘以对应出力水平，得到机组发电总能耗数据，即在不同出力水平下，生产电能量每小时所消耗的总燃料（kg/h 或MJ/h）。</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3.9.3基于发电总能耗数据，用最小二乘法拟合机组发电总能耗（kg/h 或 MJ/h）与出力水平（MW）的多项式函数关系表达式。</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3.9.4对发电总能耗（kg/h 或MJ/h）与出力水平（MW） 的函数关系表达式求一阶导数，得到边际燃料消耗（kg/MWh 或 MJ/MWh）与出力水平（MW）的函数关系表达式。</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3.9.5根据边际燃料消耗，结合燃料价格，计算边际燃料成本。</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3.9.5.1对燃煤机组，边际燃料成本=边际燃料消耗÷发电标煤耗×度电燃料成本，其中度电燃料成本、发电标煤耗根据本办法3.3确定。</w:t>
      </w:r>
    </w:p>
    <w:p>
      <w:pPr>
        <w:pStyle w:val="3"/>
        <w:spacing w:before="0" w:line="580" w:lineRule="exact"/>
        <w:ind w:left="0" w:right="0" w:firstLine="608" w:firstLineChars="200"/>
        <w:jc w:val="both"/>
        <w:rPr>
          <w:rFonts w:hint="eastAsia" w:ascii="仿宋_GB2312" w:hAnsi="仿宋_GB2312" w:eastAsia="仿宋_GB2312" w:cs="仿宋_GB2312"/>
          <w:color w:val="auto"/>
          <w:w w:val="95"/>
          <w:sz w:val="32"/>
          <w:szCs w:val="32"/>
          <w:highlight w:val="none"/>
          <w:lang w:val="en-US" w:eastAsia="zh-CN"/>
        </w:rPr>
      </w:pPr>
      <w:r>
        <w:rPr>
          <w:rFonts w:hint="eastAsia" w:ascii="仿宋_GB2312" w:hAnsi="仿宋_GB2312" w:eastAsia="仿宋_GB2312" w:cs="仿宋_GB2312"/>
          <w:color w:val="auto"/>
          <w:w w:val="95"/>
          <w:sz w:val="32"/>
          <w:szCs w:val="32"/>
          <w:highlight w:val="none"/>
          <w:lang w:val="en-US" w:eastAsia="zh-CN"/>
        </w:rPr>
        <w:t>3.9.5.2对燃气机组，边际燃料成本=边际燃料消耗÷发电能耗×度电燃料成本，度电燃料成本、发电能耗根据本办法3.4确定。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仿宋">
    <w:panose1 w:val="02010600040101010101"/>
    <w:charset w:val="86"/>
    <w:family w:val="auto"/>
    <w:pitch w:val="default"/>
    <w:sig w:usb0="00000287" w:usb1="080F0000" w:usb2="00000000" w:usb3="00000000" w:csb0="0004009F" w:csb1="DFD7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197523"/>
    <w:rsid w:val="029311C2"/>
    <w:rsid w:val="02E23982"/>
    <w:rsid w:val="04E86B91"/>
    <w:rsid w:val="08294E63"/>
    <w:rsid w:val="0CDA1744"/>
    <w:rsid w:val="153261E2"/>
    <w:rsid w:val="162C03A9"/>
    <w:rsid w:val="16F477A8"/>
    <w:rsid w:val="18D80511"/>
    <w:rsid w:val="195D50CB"/>
    <w:rsid w:val="1CB4481E"/>
    <w:rsid w:val="1F046ABD"/>
    <w:rsid w:val="1F9644D7"/>
    <w:rsid w:val="205C2187"/>
    <w:rsid w:val="221F3F19"/>
    <w:rsid w:val="231A50BC"/>
    <w:rsid w:val="23955AE0"/>
    <w:rsid w:val="2696248F"/>
    <w:rsid w:val="27CE43C4"/>
    <w:rsid w:val="29C43F76"/>
    <w:rsid w:val="29EC690F"/>
    <w:rsid w:val="2B447DA4"/>
    <w:rsid w:val="325253B4"/>
    <w:rsid w:val="34624874"/>
    <w:rsid w:val="3492758E"/>
    <w:rsid w:val="35DB6085"/>
    <w:rsid w:val="394B230B"/>
    <w:rsid w:val="3D706468"/>
    <w:rsid w:val="414B3721"/>
    <w:rsid w:val="42337436"/>
    <w:rsid w:val="44FA35FD"/>
    <w:rsid w:val="46B440DA"/>
    <w:rsid w:val="47FF71AB"/>
    <w:rsid w:val="48314DD2"/>
    <w:rsid w:val="4B445BF8"/>
    <w:rsid w:val="4DD80463"/>
    <w:rsid w:val="4EB835D8"/>
    <w:rsid w:val="4EBA147B"/>
    <w:rsid w:val="535C3671"/>
    <w:rsid w:val="54ED591D"/>
    <w:rsid w:val="56071B81"/>
    <w:rsid w:val="5B2916BE"/>
    <w:rsid w:val="5DE577B3"/>
    <w:rsid w:val="5E2768DB"/>
    <w:rsid w:val="5F956A86"/>
    <w:rsid w:val="60145578"/>
    <w:rsid w:val="63795636"/>
    <w:rsid w:val="64D91D45"/>
    <w:rsid w:val="65B11292"/>
    <w:rsid w:val="65C8239C"/>
    <w:rsid w:val="67E1027C"/>
    <w:rsid w:val="69766EBC"/>
    <w:rsid w:val="6A101BD7"/>
    <w:rsid w:val="6A216474"/>
    <w:rsid w:val="71184D80"/>
    <w:rsid w:val="73755577"/>
    <w:rsid w:val="73F57088"/>
    <w:rsid w:val="747C78F7"/>
    <w:rsid w:val="74936D17"/>
    <w:rsid w:val="75E666A6"/>
    <w:rsid w:val="76197523"/>
    <w:rsid w:val="7CAD3BF8"/>
    <w:rsid w:val="7E0B5A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oc 2"/>
    <w:basedOn w:val="1"/>
    <w:next w:val="1"/>
    <w:qFormat/>
    <w:uiPriority w:val="1"/>
    <w:pPr>
      <w:spacing w:before="43"/>
      <w:ind w:left="1100" w:hanging="420"/>
    </w:pPr>
    <w:rPr>
      <w:sz w:val="21"/>
      <w:szCs w:val="21"/>
    </w:rPr>
  </w:style>
  <w:style w:type="paragraph" w:styleId="3">
    <w:name w:val="Body Text"/>
    <w:basedOn w:val="1"/>
    <w:next w:val="4"/>
    <w:qFormat/>
    <w:uiPriority w:val="1"/>
    <w:pPr>
      <w:ind w:left="120"/>
    </w:pPr>
    <w:rPr>
      <w:rFonts w:ascii="华文仿宋" w:hAnsi="华文仿宋" w:eastAsia="华文仿宋"/>
      <w:sz w:val="32"/>
      <w:szCs w:val="32"/>
    </w:rPr>
  </w:style>
  <w:style w:type="paragraph" w:styleId="4">
    <w:name w:val="Plain Text"/>
    <w:basedOn w:val="1"/>
    <w:qFormat/>
    <w:uiPriority w:val="0"/>
    <w:rPr>
      <w:rFonts w:ascii="宋体" w:hAnsi="Courier New"/>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2023-05-28T08:59:00Z</dcterms:created>
  <dc:creator>农植贵</dc:creator>
  <cp:lastModifiedBy>商云龙</cp:lastModifiedBy>
  <dcterms:modified xsi:type="dcterms:W3CDTF">2023-06-30T00:32:50Z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ICV">
    <vt:lpwstr>4D891F22EC5E4A29BCB08AD68B13DB00</vt:lpwstr>
  </property>
</Properties>
</file>